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A978" w14:textId="29CEA5C7" w:rsidR="008F4B13" w:rsidRPr="008F4B13" w:rsidRDefault="008F4B13" w:rsidP="008F4B13">
      <w:pPr>
        <w:spacing w:after="80"/>
        <w:rPr>
          <w:rFonts w:ascii="Times" w:hAnsi="Times"/>
          <w:b/>
          <w:sz w:val="32"/>
          <w:szCs w:val="32"/>
        </w:rPr>
      </w:pPr>
      <w:r w:rsidRPr="008F4B13">
        <w:rPr>
          <w:rFonts w:ascii="Times" w:hAnsi="Times"/>
          <w:b/>
          <w:sz w:val="32"/>
          <w:szCs w:val="32"/>
        </w:rPr>
        <w:t>The Australian Population Research Institute, Research Report</w:t>
      </w:r>
    </w:p>
    <w:p w14:paraId="45A73617" w14:textId="40F24AD5" w:rsidR="008F4B13" w:rsidRPr="008F4B13" w:rsidRDefault="008F4B13">
      <w:pPr>
        <w:rPr>
          <w:rFonts w:ascii="Times" w:hAnsi="Times"/>
          <w:b/>
          <w:sz w:val="32"/>
          <w:szCs w:val="32"/>
        </w:rPr>
      </w:pPr>
      <w:r w:rsidRPr="008F4B13">
        <w:rPr>
          <w:rFonts w:ascii="Times" w:hAnsi="Times"/>
          <w:b/>
          <w:sz w:val="32"/>
          <w:szCs w:val="32"/>
        </w:rPr>
        <w:t>July 2020</w:t>
      </w:r>
    </w:p>
    <w:p w14:paraId="42B255AE" w14:textId="77777777" w:rsidR="008F4B13" w:rsidRDefault="008F4B13" w:rsidP="008F4B13">
      <w:r>
        <w:rPr>
          <w:noProof/>
          <w:lang w:eastAsia="en-AU"/>
        </w:rPr>
        <w:drawing>
          <wp:inline distT="0" distB="0" distL="0" distR="0" wp14:anchorId="306EA2AC" wp14:editId="1F637515">
            <wp:extent cx="5737860" cy="2567940"/>
            <wp:effectExtent l="0" t="0" r="0" b="3810"/>
            <wp:docPr id="1" name="Picture 1" descr="A close up of 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green pla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860" cy="2567940"/>
                    </a:xfrm>
                    <a:prstGeom prst="rect">
                      <a:avLst/>
                    </a:prstGeom>
                    <a:noFill/>
                    <a:ln>
                      <a:noFill/>
                    </a:ln>
                  </pic:spPr>
                </pic:pic>
              </a:graphicData>
            </a:graphic>
          </wp:inline>
        </w:drawing>
      </w:r>
    </w:p>
    <w:p w14:paraId="78A952BD" w14:textId="3AD2FB81" w:rsidR="00A36839" w:rsidRPr="008F4B13" w:rsidRDefault="00A87E61">
      <w:pPr>
        <w:rPr>
          <w:rFonts w:ascii="Times" w:hAnsi="Times"/>
          <w:b/>
          <w:sz w:val="32"/>
          <w:szCs w:val="32"/>
        </w:rPr>
      </w:pPr>
      <w:r w:rsidRPr="008F4B13">
        <w:rPr>
          <w:rFonts w:ascii="Times" w:hAnsi="Times"/>
          <w:b/>
          <w:sz w:val="32"/>
          <w:szCs w:val="32"/>
        </w:rPr>
        <w:t xml:space="preserve">The Australian Horticultural Workforce: </w:t>
      </w:r>
      <w:r w:rsidR="005F5F65" w:rsidRPr="008F4B13">
        <w:rPr>
          <w:rFonts w:ascii="Times" w:hAnsi="Times"/>
          <w:b/>
          <w:sz w:val="32"/>
          <w:szCs w:val="32"/>
        </w:rPr>
        <w:t>Working Holiday Makers are no longer the ‘Backbone’.</w:t>
      </w:r>
    </w:p>
    <w:p w14:paraId="6FE0B090" w14:textId="69A84D45" w:rsidR="00B35E89" w:rsidRPr="008F4B13" w:rsidRDefault="00B35E89">
      <w:pPr>
        <w:rPr>
          <w:rFonts w:ascii="Times" w:hAnsi="Times"/>
          <w:sz w:val="28"/>
          <w:szCs w:val="28"/>
        </w:rPr>
      </w:pPr>
      <w:r w:rsidRPr="008F4B13">
        <w:rPr>
          <w:rFonts w:ascii="Times" w:hAnsi="Times"/>
          <w:sz w:val="28"/>
          <w:szCs w:val="28"/>
        </w:rPr>
        <w:t xml:space="preserve">A submission to the National Agricultural Workforce Strategy </w:t>
      </w:r>
      <w:r w:rsidR="005E0A6C" w:rsidRPr="008F4B13">
        <w:rPr>
          <w:rFonts w:ascii="Times" w:hAnsi="Times"/>
          <w:sz w:val="28"/>
          <w:szCs w:val="28"/>
        </w:rPr>
        <w:t>I</w:t>
      </w:r>
      <w:r w:rsidRPr="008F4B13">
        <w:rPr>
          <w:rFonts w:ascii="Times" w:hAnsi="Times"/>
          <w:sz w:val="28"/>
          <w:szCs w:val="28"/>
        </w:rPr>
        <w:t>nquiry</w:t>
      </w:r>
    </w:p>
    <w:p w14:paraId="19E27442" w14:textId="7A3A8906" w:rsidR="00B35E89" w:rsidRPr="008F4B13" w:rsidRDefault="00B35E89">
      <w:pPr>
        <w:rPr>
          <w:rFonts w:ascii="Times" w:hAnsi="Times"/>
          <w:sz w:val="28"/>
          <w:szCs w:val="28"/>
        </w:rPr>
      </w:pPr>
      <w:r w:rsidRPr="008F4B13">
        <w:rPr>
          <w:rFonts w:ascii="Times" w:hAnsi="Times"/>
          <w:sz w:val="28"/>
          <w:szCs w:val="28"/>
        </w:rPr>
        <w:t>Bob Birrell</w:t>
      </w:r>
    </w:p>
    <w:p w14:paraId="7A026A9D" w14:textId="1D1D5019" w:rsidR="00DA30A6" w:rsidRDefault="00DA30A6">
      <w:pPr>
        <w:rPr>
          <w:rFonts w:ascii="Times" w:hAnsi="Times"/>
          <w:sz w:val="24"/>
          <w:szCs w:val="24"/>
        </w:rPr>
      </w:pPr>
    </w:p>
    <w:p w14:paraId="0896A1F5" w14:textId="3EE6DD61" w:rsidR="00423878" w:rsidRDefault="00423878">
      <w:pPr>
        <w:rPr>
          <w:rFonts w:ascii="Times" w:hAnsi="Times"/>
          <w:i/>
          <w:iCs/>
          <w:sz w:val="24"/>
          <w:szCs w:val="24"/>
        </w:rPr>
      </w:pPr>
      <w:r w:rsidRPr="00423878">
        <w:rPr>
          <w:rFonts w:ascii="Times" w:hAnsi="Times"/>
          <w:i/>
          <w:iCs/>
          <w:sz w:val="24"/>
          <w:szCs w:val="24"/>
        </w:rPr>
        <w:t>Table of contents</w:t>
      </w:r>
    </w:p>
    <w:p w14:paraId="2D77A5CC" w14:textId="7AF5A9B0" w:rsidR="00463749" w:rsidRDefault="00463749">
      <w:pPr>
        <w:pStyle w:val="TOC2"/>
        <w:tabs>
          <w:tab w:val="right" w:leader="dot" w:pos="9016"/>
        </w:tabs>
        <w:rPr>
          <w:rFonts w:eastAsiaTheme="minorEastAsia"/>
          <w:noProof/>
          <w:sz w:val="24"/>
          <w:szCs w:val="24"/>
          <w:lang w:eastAsia="en-GB"/>
        </w:rPr>
      </w:pPr>
      <w:r>
        <w:rPr>
          <w:rFonts w:ascii="Times" w:hAnsi="Times"/>
          <w:i/>
          <w:iCs/>
          <w:sz w:val="24"/>
          <w:szCs w:val="24"/>
        </w:rPr>
        <w:fldChar w:fldCharType="begin"/>
      </w:r>
      <w:r>
        <w:rPr>
          <w:rFonts w:ascii="Times" w:hAnsi="Times"/>
          <w:i/>
          <w:iCs/>
          <w:sz w:val="24"/>
          <w:szCs w:val="24"/>
        </w:rPr>
        <w:instrText xml:space="preserve"> TOC \o "1-3" \h \z \u </w:instrText>
      </w:r>
      <w:r>
        <w:rPr>
          <w:rFonts w:ascii="Times" w:hAnsi="Times"/>
          <w:i/>
          <w:iCs/>
          <w:sz w:val="24"/>
          <w:szCs w:val="24"/>
        </w:rPr>
        <w:fldChar w:fldCharType="separate"/>
      </w:r>
      <w:hyperlink w:anchor="_Toc46319725" w:history="1">
        <w:r w:rsidRPr="00117884">
          <w:rPr>
            <w:rStyle w:val="Hyperlink"/>
            <w:noProof/>
          </w:rPr>
          <w:t>Main Findings</w:t>
        </w:r>
        <w:r>
          <w:rPr>
            <w:noProof/>
            <w:webHidden/>
          </w:rPr>
          <w:tab/>
        </w:r>
        <w:r>
          <w:rPr>
            <w:noProof/>
            <w:webHidden/>
          </w:rPr>
          <w:fldChar w:fldCharType="begin"/>
        </w:r>
        <w:r>
          <w:rPr>
            <w:noProof/>
            <w:webHidden/>
          </w:rPr>
          <w:instrText xml:space="preserve"> PAGEREF _Toc46319725 \h </w:instrText>
        </w:r>
        <w:r>
          <w:rPr>
            <w:noProof/>
            <w:webHidden/>
          </w:rPr>
        </w:r>
        <w:r>
          <w:rPr>
            <w:noProof/>
            <w:webHidden/>
          </w:rPr>
          <w:fldChar w:fldCharType="separate"/>
        </w:r>
        <w:r>
          <w:rPr>
            <w:noProof/>
            <w:webHidden/>
          </w:rPr>
          <w:t>1</w:t>
        </w:r>
        <w:r>
          <w:rPr>
            <w:noProof/>
            <w:webHidden/>
          </w:rPr>
          <w:fldChar w:fldCharType="end"/>
        </w:r>
      </w:hyperlink>
    </w:p>
    <w:p w14:paraId="62204784" w14:textId="255928F8" w:rsidR="00463749" w:rsidRDefault="00C35FFA">
      <w:pPr>
        <w:pStyle w:val="TOC2"/>
        <w:tabs>
          <w:tab w:val="right" w:leader="dot" w:pos="9016"/>
        </w:tabs>
        <w:rPr>
          <w:rFonts w:eastAsiaTheme="minorEastAsia"/>
          <w:noProof/>
          <w:sz w:val="24"/>
          <w:szCs w:val="24"/>
          <w:lang w:eastAsia="en-GB"/>
        </w:rPr>
      </w:pPr>
      <w:hyperlink w:anchor="_Toc46319726" w:history="1">
        <w:r w:rsidR="00463749" w:rsidRPr="00117884">
          <w:rPr>
            <w:rStyle w:val="Hyperlink"/>
            <w:noProof/>
          </w:rPr>
          <w:t>Australia’s agricultural industry</w:t>
        </w:r>
        <w:r w:rsidR="00463749">
          <w:rPr>
            <w:noProof/>
            <w:webHidden/>
          </w:rPr>
          <w:tab/>
        </w:r>
        <w:r w:rsidR="00463749">
          <w:rPr>
            <w:noProof/>
            <w:webHidden/>
          </w:rPr>
          <w:fldChar w:fldCharType="begin"/>
        </w:r>
        <w:r w:rsidR="00463749">
          <w:rPr>
            <w:noProof/>
            <w:webHidden/>
          </w:rPr>
          <w:instrText xml:space="preserve"> PAGEREF _Toc46319726 \h </w:instrText>
        </w:r>
        <w:r w:rsidR="00463749">
          <w:rPr>
            <w:noProof/>
            <w:webHidden/>
          </w:rPr>
        </w:r>
        <w:r w:rsidR="00463749">
          <w:rPr>
            <w:noProof/>
            <w:webHidden/>
          </w:rPr>
          <w:fldChar w:fldCharType="separate"/>
        </w:r>
        <w:r w:rsidR="00463749">
          <w:rPr>
            <w:noProof/>
            <w:webHidden/>
          </w:rPr>
          <w:t>2</w:t>
        </w:r>
        <w:r w:rsidR="00463749">
          <w:rPr>
            <w:noProof/>
            <w:webHidden/>
          </w:rPr>
          <w:fldChar w:fldCharType="end"/>
        </w:r>
      </w:hyperlink>
    </w:p>
    <w:p w14:paraId="0B648CF1" w14:textId="2C3B4FDF" w:rsidR="00463749" w:rsidRDefault="00C35FFA">
      <w:pPr>
        <w:pStyle w:val="TOC2"/>
        <w:tabs>
          <w:tab w:val="right" w:leader="dot" w:pos="9016"/>
        </w:tabs>
        <w:rPr>
          <w:rFonts w:eastAsiaTheme="minorEastAsia"/>
          <w:noProof/>
          <w:sz w:val="24"/>
          <w:szCs w:val="24"/>
          <w:lang w:eastAsia="en-GB"/>
        </w:rPr>
      </w:pPr>
      <w:hyperlink w:anchor="_Toc46319727" w:history="1">
        <w:r w:rsidR="00463749" w:rsidRPr="00117884">
          <w:rPr>
            <w:rStyle w:val="Hyperlink"/>
            <w:noProof/>
          </w:rPr>
          <w:t>The horticultural workforce</w:t>
        </w:r>
        <w:r w:rsidR="00463749">
          <w:rPr>
            <w:noProof/>
            <w:webHidden/>
          </w:rPr>
          <w:tab/>
        </w:r>
        <w:r w:rsidR="00463749">
          <w:rPr>
            <w:noProof/>
            <w:webHidden/>
          </w:rPr>
          <w:fldChar w:fldCharType="begin"/>
        </w:r>
        <w:r w:rsidR="00463749">
          <w:rPr>
            <w:noProof/>
            <w:webHidden/>
          </w:rPr>
          <w:instrText xml:space="preserve"> PAGEREF _Toc46319727 \h </w:instrText>
        </w:r>
        <w:r w:rsidR="00463749">
          <w:rPr>
            <w:noProof/>
            <w:webHidden/>
          </w:rPr>
        </w:r>
        <w:r w:rsidR="00463749">
          <w:rPr>
            <w:noProof/>
            <w:webHidden/>
          </w:rPr>
          <w:fldChar w:fldCharType="separate"/>
        </w:r>
        <w:r w:rsidR="00463749">
          <w:rPr>
            <w:noProof/>
            <w:webHidden/>
          </w:rPr>
          <w:t>3</w:t>
        </w:r>
        <w:r w:rsidR="00463749">
          <w:rPr>
            <w:noProof/>
            <w:webHidden/>
          </w:rPr>
          <w:fldChar w:fldCharType="end"/>
        </w:r>
      </w:hyperlink>
    </w:p>
    <w:p w14:paraId="2B7FA1F0" w14:textId="3B377E87" w:rsidR="00463749" w:rsidRDefault="00C35FFA">
      <w:pPr>
        <w:pStyle w:val="TOC3"/>
        <w:rPr>
          <w:rFonts w:eastAsiaTheme="minorEastAsia"/>
          <w:i w:val="0"/>
          <w:iCs w:val="0"/>
          <w:sz w:val="24"/>
          <w:szCs w:val="24"/>
          <w:lang w:eastAsia="en-GB"/>
        </w:rPr>
      </w:pPr>
      <w:hyperlink w:anchor="_Toc46319728" w:history="1">
        <w:r w:rsidR="00463749" w:rsidRPr="00117884">
          <w:rPr>
            <w:rStyle w:val="Hyperlink"/>
          </w:rPr>
          <w:t>The Working Holiday Migrant visa</w:t>
        </w:r>
        <w:r w:rsidR="00463749">
          <w:rPr>
            <w:webHidden/>
          </w:rPr>
          <w:tab/>
        </w:r>
        <w:r w:rsidR="00463749">
          <w:rPr>
            <w:webHidden/>
          </w:rPr>
          <w:fldChar w:fldCharType="begin"/>
        </w:r>
        <w:r w:rsidR="00463749">
          <w:rPr>
            <w:webHidden/>
          </w:rPr>
          <w:instrText xml:space="preserve"> PAGEREF _Toc46319728 \h </w:instrText>
        </w:r>
        <w:r w:rsidR="00463749">
          <w:rPr>
            <w:webHidden/>
          </w:rPr>
        </w:r>
        <w:r w:rsidR="00463749">
          <w:rPr>
            <w:webHidden/>
          </w:rPr>
          <w:fldChar w:fldCharType="separate"/>
        </w:r>
        <w:r w:rsidR="00463749">
          <w:rPr>
            <w:webHidden/>
          </w:rPr>
          <w:t>3</w:t>
        </w:r>
        <w:r w:rsidR="00463749">
          <w:rPr>
            <w:webHidden/>
          </w:rPr>
          <w:fldChar w:fldCharType="end"/>
        </w:r>
      </w:hyperlink>
    </w:p>
    <w:p w14:paraId="5A744A5B" w14:textId="7B0407E1" w:rsidR="00463749" w:rsidRDefault="00C35FFA">
      <w:pPr>
        <w:pStyle w:val="TOC2"/>
        <w:tabs>
          <w:tab w:val="right" w:leader="dot" w:pos="9016"/>
        </w:tabs>
        <w:rPr>
          <w:rFonts w:eastAsiaTheme="minorEastAsia"/>
          <w:noProof/>
          <w:sz w:val="24"/>
          <w:szCs w:val="24"/>
          <w:lang w:eastAsia="en-GB"/>
        </w:rPr>
      </w:pPr>
      <w:hyperlink w:anchor="_Toc46319729" w:history="1">
        <w:r w:rsidR="00463749" w:rsidRPr="00117884">
          <w:rPr>
            <w:rStyle w:val="Hyperlink"/>
            <w:noProof/>
          </w:rPr>
          <w:t>Have these WHM initiatives delivered the workforce horticultural employers need?</w:t>
        </w:r>
        <w:r w:rsidR="00463749">
          <w:rPr>
            <w:noProof/>
            <w:webHidden/>
          </w:rPr>
          <w:tab/>
        </w:r>
        <w:r w:rsidR="00463749">
          <w:rPr>
            <w:noProof/>
            <w:webHidden/>
          </w:rPr>
          <w:fldChar w:fldCharType="begin"/>
        </w:r>
        <w:r w:rsidR="00463749">
          <w:rPr>
            <w:noProof/>
            <w:webHidden/>
          </w:rPr>
          <w:instrText xml:space="preserve"> PAGEREF _Toc46319729 \h </w:instrText>
        </w:r>
        <w:r w:rsidR="00463749">
          <w:rPr>
            <w:noProof/>
            <w:webHidden/>
          </w:rPr>
        </w:r>
        <w:r w:rsidR="00463749">
          <w:rPr>
            <w:noProof/>
            <w:webHidden/>
          </w:rPr>
          <w:fldChar w:fldCharType="separate"/>
        </w:r>
        <w:r w:rsidR="00463749">
          <w:rPr>
            <w:noProof/>
            <w:webHidden/>
          </w:rPr>
          <w:t>4</w:t>
        </w:r>
        <w:r w:rsidR="00463749">
          <w:rPr>
            <w:noProof/>
            <w:webHidden/>
          </w:rPr>
          <w:fldChar w:fldCharType="end"/>
        </w:r>
      </w:hyperlink>
    </w:p>
    <w:p w14:paraId="3A555A8D" w14:textId="3DEF9CE3" w:rsidR="00463749" w:rsidRDefault="00C35FFA">
      <w:pPr>
        <w:pStyle w:val="TOC3"/>
        <w:rPr>
          <w:rFonts w:eastAsiaTheme="minorEastAsia"/>
          <w:i w:val="0"/>
          <w:iCs w:val="0"/>
          <w:sz w:val="24"/>
          <w:szCs w:val="24"/>
          <w:lang w:eastAsia="en-GB"/>
        </w:rPr>
      </w:pPr>
      <w:hyperlink w:anchor="_Toc46319730" w:history="1">
        <w:r w:rsidR="00463749" w:rsidRPr="00117884">
          <w:rPr>
            <w:rStyle w:val="Hyperlink"/>
          </w:rPr>
          <w:t>The second year deal</w:t>
        </w:r>
        <w:r w:rsidR="00463749">
          <w:rPr>
            <w:webHidden/>
          </w:rPr>
          <w:tab/>
        </w:r>
        <w:r w:rsidR="00463749">
          <w:rPr>
            <w:webHidden/>
          </w:rPr>
          <w:fldChar w:fldCharType="begin"/>
        </w:r>
        <w:r w:rsidR="00463749">
          <w:rPr>
            <w:webHidden/>
          </w:rPr>
          <w:instrText xml:space="preserve"> PAGEREF _Toc46319730 \h </w:instrText>
        </w:r>
        <w:r w:rsidR="00463749">
          <w:rPr>
            <w:webHidden/>
          </w:rPr>
        </w:r>
        <w:r w:rsidR="00463749">
          <w:rPr>
            <w:webHidden/>
          </w:rPr>
          <w:fldChar w:fldCharType="separate"/>
        </w:r>
        <w:r w:rsidR="00463749">
          <w:rPr>
            <w:webHidden/>
          </w:rPr>
          <w:t>5</w:t>
        </w:r>
        <w:r w:rsidR="00463749">
          <w:rPr>
            <w:webHidden/>
          </w:rPr>
          <w:fldChar w:fldCharType="end"/>
        </w:r>
      </w:hyperlink>
    </w:p>
    <w:p w14:paraId="777FB6B9" w14:textId="04936D6B" w:rsidR="00463749" w:rsidRDefault="00C35FFA">
      <w:pPr>
        <w:pStyle w:val="TOC2"/>
        <w:tabs>
          <w:tab w:val="right" w:leader="dot" w:pos="9016"/>
        </w:tabs>
        <w:rPr>
          <w:rFonts w:eastAsiaTheme="minorEastAsia"/>
          <w:noProof/>
          <w:sz w:val="24"/>
          <w:szCs w:val="24"/>
          <w:lang w:eastAsia="en-GB"/>
        </w:rPr>
      </w:pPr>
      <w:hyperlink w:anchor="_Toc46319731" w:history="1">
        <w:r w:rsidR="00463749" w:rsidRPr="00117884">
          <w:rPr>
            <w:rStyle w:val="Hyperlink"/>
            <w:noProof/>
          </w:rPr>
          <w:t>Other temporary migrant visa holders</w:t>
        </w:r>
        <w:r w:rsidR="00463749">
          <w:rPr>
            <w:noProof/>
            <w:webHidden/>
          </w:rPr>
          <w:tab/>
        </w:r>
        <w:r w:rsidR="00463749">
          <w:rPr>
            <w:noProof/>
            <w:webHidden/>
          </w:rPr>
          <w:fldChar w:fldCharType="begin"/>
        </w:r>
        <w:r w:rsidR="00463749">
          <w:rPr>
            <w:noProof/>
            <w:webHidden/>
          </w:rPr>
          <w:instrText xml:space="preserve"> PAGEREF _Toc46319731 \h </w:instrText>
        </w:r>
        <w:r w:rsidR="00463749">
          <w:rPr>
            <w:noProof/>
            <w:webHidden/>
          </w:rPr>
        </w:r>
        <w:r w:rsidR="00463749">
          <w:rPr>
            <w:noProof/>
            <w:webHidden/>
          </w:rPr>
          <w:fldChar w:fldCharType="separate"/>
        </w:r>
        <w:r w:rsidR="00463749">
          <w:rPr>
            <w:noProof/>
            <w:webHidden/>
          </w:rPr>
          <w:t>8</w:t>
        </w:r>
        <w:r w:rsidR="00463749">
          <w:rPr>
            <w:noProof/>
            <w:webHidden/>
          </w:rPr>
          <w:fldChar w:fldCharType="end"/>
        </w:r>
      </w:hyperlink>
    </w:p>
    <w:p w14:paraId="7991DFCC" w14:textId="24A1BF7F" w:rsidR="00463749" w:rsidRDefault="00C35FFA">
      <w:pPr>
        <w:pStyle w:val="TOC2"/>
        <w:tabs>
          <w:tab w:val="right" w:leader="dot" w:pos="9016"/>
        </w:tabs>
        <w:rPr>
          <w:rFonts w:eastAsiaTheme="minorEastAsia"/>
          <w:noProof/>
          <w:sz w:val="24"/>
          <w:szCs w:val="24"/>
          <w:lang w:eastAsia="en-GB"/>
        </w:rPr>
      </w:pPr>
      <w:hyperlink w:anchor="_Toc46319732" w:history="1">
        <w:r w:rsidR="00463749" w:rsidRPr="00117884">
          <w:rPr>
            <w:rStyle w:val="Hyperlink"/>
            <w:noProof/>
          </w:rPr>
          <w:t>The rise in the other temporary migrant contribution to horticultural work</w:t>
        </w:r>
        <w:r w:rsidR="00463749">
          <w:rPr>
            <w:noProof/>
            <w:webHidden/>
          </w:rPr>
          <w:tab/>
        </w:r>
        <w:r w:rsidR="00463749">
          <w:rPr>
            <w:noProof/>
            <w:webHidden/>
          </w:rPr>
          <w:fldChar w:fldCharType="begin"/>
        </w:r>
        <w:r w:rsidR="00463749">
          <w:rPr>
            <w:noProof/>
            <w:webHidden/>
          </w:rPr>
          <w:instrText xml:space="preserve"> PAGEREF _Toc46319732 \h </w:instrText>
        </w:r>
        <w:r w:rsidR="00463749">
          <w:rPr>
            <w:noProof/>
            <w:webHidden/>
          </w:rPr>
        </w:r>
        <w:r w:rsidR="00463749">
          <w:rPr>
            <w:noProof/>
            <w:webHidden/>
          </w:rPr>
          <w:fldChar w:fldCharType="separate"/>
        </w:r>
        <w:r w:rsidR="00463749">
          <w:rPr>
            <w:noProof/>
            <w:webHidden/>
          </w:rPr>
          <w:t>8</w:t>
        </w:r>
        <w:r w:rsidR="00463749">
          <w:rPr>
            <w:noProof/>
            <w:webHidden/>
          </w:rPr>
          <w:fldChar w:fldCharType="end"/>
        </w:r>
      </w:hyperlink>
    </w:p>
    <w:p w14:paraId="6C439A68" w14:textId="7E1F2459" w:rsidR="00463749" w:rsidRDefault="00C35FFA">
      <w:pPr>
        <w:pStyle w:val="TOC2"/>
        <w:tabs>
          <w:tab w:val="right" w:leader="dot" w:pos="9016"/>
        </w:tabs>
        <w:rPr>
          <w:rFonts w:eastAsiaTheme="minorEastAsia"/>
          <w:noProof/>
          <w:sz w:val="24"/>
          <w:szCs w:val="24"/>
          <w:lang w:eastAsia="en-GB"/>
        </w:rPr>
      </w:pPr>
      <w:hyperlink w:anchor="_Toc46319733" w:history="1">
        <w:r w:rsidR="00463749" w:rsidRPr="00117884">
          <w:rPr>
            <w:rStyle w:val="Hyperlink"/>
            <w:noProof/>
          </w:rPr>
          <w:t>The current horticultural work setting</w:t>
        </w:r>
        <w:r w:rsidR="00463749">
          <w:rPr>
            <w:noProof/>
            <w:webHidden/>
          </w:rPr>
          <w:tab/>
        </w:r>
        <w:r w:rsidR="00463749">
          <w:rPr>
            <w:noProof/>
            <w:webHidden/>
          </w:rPr>
          <w:fldChar w:fldCharType="begin"/>
        </w:r>
        <w:r w:rsidR="00463749">
          <w:rPr>
            <w:noProof/>
            <w:webHidden/>
          </w:rPr>
          <w:instrText xml:space="preserve"> PAGEREF _Toc46319733 \h </w:instrText>
        </w:r>
        <w:r w:rsidR="00463749">
          <w:rPr>
            <w:noProof/>
            <w:webHidden/>
          </w:rPr>
        </w:r>
        <w:r w:rsidR="00463749">
          <w:rPr>
            <w:noProof/>
            <w:webHidden/>
          </w:rPr>
          <w:fldChar w:fldCharType="separate"/>
        </w:r>
        <w:r w:rsidR="00463749">
          <w:rPr>
            <w:noProof/>
            <w:webHidden/>
          </w:rPr>
          <w:t>10</w:t>
        </w:r>
        <w:r w:rsidR="00463749">
          <w:rPr>
            <w:noProof/>
            <w:webHidden/>
          </w:rPr>
          <w:fldChar w:fldCharType="end"/>
        </w:r>
      </w:hyperlink>
    </w:p>
    <w:p w14:paraId="78876703" w14:textId="35BDAA8C" w:rsidR="00463749" w:rsidRDefault="00C35FFA">
      <w:pPr>
        <w:pStyle w:val="TOC2"/>
        <w:tabs>
          <w:tab w:val="right" w:leader="dot" w:pos="9016"/>
        </w:tabs>
        <w:rPr>
          <w:rFonts w:eastAsiaTheme="minorEastAsia"/>
          <w:noProof/>
          <w:sz w:val="24"/>
          <w:szCs w:val="24"/>
          <w:lang w:eastAsia="en-GB"/>
        </w:rPr>
      </w:pPr>
      <w:hyperlink w:anchor="_Toc46319734" w:history="1">
        <w:r w:rsidR="00463749" w:rsidRPr="00117884">
          <w:rPr>
            <w:rStyle w:val="Hyperlink"/>
            <w:noProof/>
          </w:rPr>
          <w:t>A moral critique</w:t>
        </w:r>
        <w:r w:rsidR="00463749">
          <w:rPr>
            <w:noProof/>
            <w:webHidden/>
          </w:rPr>
          <w:tab/>
        </w:r>
        <w:r w:rsidR="00463749">
          <w:rPr>
            <w:noProof/>
            <w:webHidden/>
          </w:rPr>
          <w:fldChar w:fldCharType="begin"/>
        </w:r>
        <w:r w:rsidR="00463749">
          <w:rPr>
            <w:noProof/>
            <w:webHidden/>
          </w:rPr>
          <w:instrText xml:space="preserve"> PAGEREF _Toc46319734 \h </w:instrText>
        </w:r>
        <w:r w:rsidR="00463749">
          <w:rPr>
            <w:noProof/>
            <w:webHidden/>
          </w:rPr>
        </w:r>
        <w:r w:rsidR="00463749">
          <w:rPr>
            <w:noProof/>
            <w:webHidden/>
          </w:rPr>
          <w:fldChar w:fldCharType="separate"/>
        </w:r>
        <w:r w:rsidR="00463749">
          <w:rPr>
            <w:noProof/>
            <w:webHidden/>
          </w:rPr>
          <w:t>11</w:t>
        </w:r>
        <w:r w:rsidR="00463749">
          <w:rPr>
            <w:noProof/>
            <w:webHidden/>
          </w:rPr>
          <w:fldChar w:fldCharType="end"/>
        </w:r>
      </w:hyperlink>
    </w:p>
    <w:p w14:paraId="7D87D932" w14:textId="4BC984B6" w:rsidR="00463749" w:rsidRDefault="00C35FFA">
      <w:pPr>
        <w:pStyle w:val="TOC2"/>
        <w:tabs>
          <w:tab w:val="right" w:leader="dot" w:pos="9016"/>
        </w:tabs>
        <w:rPr>
          <w:rFonts w:eastAsiaTheme="minorEastAsia"/>
          <w:noProof/>
          <w:sz w:val="24"/>
          <w:szCs w:val="24"/>
          <w:lang w:eastAsia="en-GB"/>
        </w:rPr>
      </w:pPr>
      <w:hyperlink w:anchor="_Toc46319735" w:history="1">
        <w:r w:rsidR="00463749" w:rsidRPr="00117884">
          <w:rPr>
            <w:rStyle w:val="Hyperlink"/>
            <w:noProof/>
          </w:rPr>
          <w:t>The implications of covid-19</w:t>
        </w:r>
        <w:r w:rsidR="00463749">
          <w:rPr>
            <w:noProof/>
            <w:webHidden/>
          </w:rPr>
          <w:tab/>
        </w:r>
        <w:r w:rsidR="00463749">
          <w:rPr>
            <w:noProof/>
            <w:webHidden/>
          </w:rPr>
          <w:fldChar w:fldCharType="begin"/>
        </w:r>
        <w:r w:rsidR="00463749">
          <w:rPr>
            <w:noProof/>
            <w:webHidden/>
          </w:rPr>
          <w:instrText xml:space="preserve"> PAGEREF _Toc46319735 \h </w:instrText>
        </w:r>
        <w:r w:rsidR="00463749">
          <w:rPr>
            <w:noProof/>
            <w:webHidden/>
          </w:rPr>
        </w:r>
        <w:r w:rsidR="00463749">
          <w:rPr>
            <w:noProof/>
            <w:webHidden/>
          </w:rPr>
          <w:fldChar w:fldCharType="separate"/>
        </w:r>
        <w:r w:rsidR="00463749">
          <w:rPr>
            <w:noProof/>
            <w:webHidden/>
          </w:rPr>
          <w:t>12</w:t>
        </w:r>
        <w:r w:rsidR="00463749">
          <w:rPr>
            <w:noProof/>
            <w:webHidden/>
          </w:rPr>
          <w:fldChar w:fldCharType="end"/>
        </w:r>
      </w:hyperlink>
    </w:p>
    <w:p w14:paraId="5FA43DC9" w14:textId="3B42B78E" w:rsidR="00463749" w:rsidRDefault="00C35FFA">
      <w:pPr>
        <w:pStyle w:val="TOC2"/>
        <w:tabs>
          <w:tab w:val="right" w:leader="dot" w:pos="9016"/>
        </w:tabs>
        <w:rPr>
          <w:rFonts w:eastAsiaTheme="minorEastAsia"/>
          <w:noProof/>
          <w:sz w:val="24"/>
          <w:szCs w:val="24"/>
          <w:lang w:eastAsia="en-GB"/>
        </w:rPr>
      </w:pPr>
      <w:hyperlink w:anchor="_Toc46319736" w:history="1">
        <w:r w:rsidR="00463749" w:rsidRPr="00117884">
          <w:rPr>
            <w:rStyle w:val="Hyperlink"/>
            <w:noProof/>
          </w:rPr>
          <w:t>The horticultural industry will have to adjust</w:t>
        </w:r>
        <w:r w:rsidR="00463749">
          <w:rPr>
            <w:noProof/>
            <w:webHidden/>
          </w:rPr>
          <w:tab/>
        </w:r>
        <w:r w:rsidR="00463749">
          <w:rPr>
            <w:noProof/>
            <w:webHidden/>
          </w:rPr>
          <w:fldChar w:fldCharType="begin"/>
        </w:r>
        <w:r w:rsidR="00463749">
          <w:rPr>
            <w:noProof/>
            <w:webHidden/>
          </w:rPr>
          <w:instrText xml:space="preserve"> PAGEREF _Toc46319736 \h </w:instrText>
        </w:r>
        <w:r w:rsidR="00463749">
          <w:rPr>
            <w:noProof/>
            <w:webHidden/>
          </w:rPr>
        </w:r>
        <w:r w:rsidR="00463749">
          <w:rPr>
            <w:noProof/>
            <w:webHidden/>
          </w:rPr>
          <w:fldChar w:fldCharType="separate"/>
        </w:r>
        <w:r w:rsidR="00463749">
          <w:rPr>
            <w:noProof/>
            <w:webHidden/>
          </w:rPr>
          <w:t>13</w:t>
        </w:r>
        <w:r w:rsidR="00463749">
          <w:rPr>
            <w:noProof/>
            <w:webHidden/>
          </w:rPr>
          <w:fldChar w:fldCharType="end"/>
        </w:r>
      </w:hyperlink>
    </w:p>
    <w:p w14:paraId="3AE33424" w14:textId="2172B98E" w:rsidR="00463749" w:rsidRDefault="00C35FFA">
      <w:pPr>
        <w:pStyle w:val="TOC2"/>
        <w:tabs>
          <w:tab w:val="right" w:leader="dot" w:pos="9016"/>
        </w:tabs>
        <w:rPr>
          <w:rFonts w:eastAsiaTheme="minorEastAsia"/>
          <w:noProof/>
          <w:sz w:val="24"/>
          <w:szCs w:val="24"/>
          <w:lang w:eastAsia="en-GB"/>
        </w:rPr>
      </w:pPr>
      <w:hyperlink w:anchor="_Toc46319737" w:history="1">
        <w:r w:rsidR="00463749" w:rsidRPr="00117884">
          <w:rPr>
            <w:rStyle w:val="Hyperlink"/>
            <w:noProof/>
          </w:rPr>
          <w:t>Reliance on a tied temporary migrant workforce must end</w:t>
        </w:r>
        <w:r w:rsidR="00463749">
          <w:rPr>
            <w:noProof/>
            <w:webHidden/>
          </w:rPr>
          <w:tab/>
        </w:r>
        <w:r w:rsidR="00463749">
          <w:rPr>
            <w:noProof/>
            <w:webHidden/>
          </w:rPr>
          <w:fldChar w:fldCharType="begin"/>
        </w:r>
        <w:r w:rsidR="00463749">
          <w:rPr>
            <w:noProof/>
            <w:webHidden/>
          </w:rPr>
          <w:instrText xml:space="preserve"> PAGEREF _Toc46319737 \h </w:instrText>
        </w:r>
        <w:r w:rsidR="00463749">
          <w:rPr>
            <w:noProof/>
            <w:webHidden/>
          </w:rPr>
        </w:r>
        <w:r w:rsidR="00463749">
          <w:rPr>
            <w:noProof/>
            <w:webHidden/>
          </w:rPr>
          <w:fldChar w:fldCharType="separate"/>
        </w:r>
        <w:r w:rsidR="00463749">
          <w:rPr>
            <w:noProof/>
            <w:webHidden/>
          </w:rPr>
          <w:t>13</w:t>
        </w:r>
        <w:r w:rsidR="00463749">
          <w:rPr>
            <w:noProof/>
            <w:webHidden/>
          </w:rPr>
          <w:fldChar w:fldCharType="end"/>
        </w:r>
      </w:hyperlink>
    </w:p>
    <w:p w14:paraId="3954270A" w14:textId="1D2320AE" w:rsidR="00463749" w:rsidRDefault="00C35FFA">
      <w:pPr>
        <w:pStyle w:val="TOC2"/>
        <w:tabs>
          <w:tab w:val="right" w:leader="dot" w:pos="9016"/>
        </w:tabs>
        <w:rPr>
          <w:rFonts w:eastAsiaTheme="minorEastAsia"/>
          <w:noProof/>
          <w:sz w:val="24"/>
          <w:szCs w:val="24"/>
          <w:lang w:eastAsia="en-GB"/>
        </w:rPr>
      </w:pPr>
      <w:hyperlink w:anchor="_Toc46319738" w:history="1">
        <w:r w:rsidR="00463749" w:rsidRPr="00117884">
          <w:rPr>
            <w:rStyle w:val="Hyperlink"/>
            <w:noProof/>
          </w:rPr>
          <w:t>References</w:t>
        </w:r>
        <w:r w:rsidR="00463749">
          <w:rPr>
            <w:noProof/>
            <w:webHidden/>
          </w:rPr>
          <w:tab/>
        </w:r>
        <w:r w:rsidR="00463749">
          <w:rPr>
            <w:noProof/>
            <w:webHidden/>
          </w:rPr>
          <w:fldChar w:fldCharType="begin"/>
        </w:r>
        <w:r w:rsidR="00463749">
          <w:rPr>
            <w:noProof/>
            <w:webHidden/>
          </w:rPr>
          <w:instrText xml:space="preserve"> PAGEREF _Toc46319738 \h </w:instrText>
        </w:r>
        <w:r w:rsidR="00463749">
          <w:rPr>
            <w:noProof/>
            <w:webHidden/>
          </w:rPr>
        </w:r>
        <w:r w:rsidR="00463749">
          <w:rPr>
            <w:noProof/>
            <w:webHidden/>
          </w:rPr>
          <w:fldChar w:fldCharType="separate"/>
        </w:r>
        <w:r w:rsidR="00463749">
          <w:rPr>
            <w:noProof/>
            <w:webHidden/>
          </w:rPr>
          <w:t>14</w:t>
        </w:r>
        <w:r w:rsidR="00463749">
          <w:rPr>
            <w:noProof/>
            <w:webHidden/>
          </w:rPr>
          <w:fldChar w:fldCharType="end"/>
        </w:r>
      </w:hyperlink>
    </w:p>
    <w:p w14:paraId="5EDC39EF" w14:textId="67A98674" w:rsidR="00DA30A6" w:rsidRDefault="00463749">
      <w:pPr>
        <w:rPr>
          <w:rFonts w:ascii="Times" w:hAnsi="Times"/>
          <w:sz w:val="24"/>
          <w:szCs w:val="24"/>
        </w:rPr>
      </w:pPr>
      <w:r>
        <w:rPr>
          <w:rFonts w:ascii="Times" w:hAnsi="Times"/>
          <w:i/>
          <w:iCs/>
          <w:sz w:val="24"/>
          <w:szCs w:val="24"/>
        </w:rPr>
        <w:fldChar w:fldCharType="end"/>
      </w:r>
    </w:p>
    <w:p w14:paraId="62CEF3BA" w14:textId="77777777" w:rsidR="00DA30A6" w:rsidRDefault="00DA30A6">
      <w:pPr>
        <w:rPr>
          <w:rFonts w:ascii="Times" w:hAnsi="Times"/>
          <w:sz w:val="24"/>
          <w:szCs w:val="24"/>
        </w:rPr>
        <w:sectPr w:rsidR="00DA30A6">
          <w:footerReference w:type="even" r:id="rId8"/>
          <w:footerReference w:type="default" r:id="rId9"/>
          <w:endnotePr>
            <w:numFmt w:val="decimal"/>
          </w:endnotePr>
          <w:pgSz w:w="11906" w:h="16838"/>
          <w:pgMar w:top="1440" w:right="1440" w:bottom="1440" w:left="1440" w:header="708" w:footer="708" w:gutter="0"/>
          <w:cols w:space="708"/>
          <w:docGrid w:linePitch="360"/>
        </w:sectPr>
      </w:pPr>
    </w:p>
    <w:p w14:paraId="51241F5B" w14:textId="71D3BB8D" w:rsidR="00DA30A6" w:rsidRPr="00A36839" w:rsidRDefault="00DA30A6">
      <w:pPr>
        <w:rPr>
          <w:rFonts w:ascii="Times" w:hAnsi="Times"/>
          <w:sz w:val="24"/>
          <w:szCs w:val="24"/>
        </w:rPr>
      </w:pPr>
    </w:p>
    <w:p w14:paraId="1F8B7777" w14:textId="698EA16F" w:rsidR="00A87E61" w:rsidRPr="00A36839" w:rsidRDefault="00A87E61" w:rsidP="00DA30A6">
      <w:pPr>
        <w:pStyle w:val="Heading2"/>
      </w:pPr>
      <w:bookmarkStart w:id="0" w:name="_Toc46319539"/>
      <w:bookmarkStart w:id="1" w:name="_Toc46319725"/>
      <w:r w:rsidRPr="00A36839">
        <w:t>Main Findings</w:t>
      </w:r>
      <w:bookmarkEnd w:id="0"/>
      <w:bookmarkEnd w:id="1"/>
    </w:p>
    <w:p w14:paraId="06962A85" w14:textId="77777777" w:rsidR="00A36839" w:rsidRPr="00A36839" w:rsidRDefault="00A87E61">
      <w:pPr>
        <w:rPr>
          <w:rFonts w:ascii="Times" w:hAnsi="Times"/>
          <w:sz w:val="24"/>
          <w:szCs w:val="24"/>
        </w:rPr>
      </w:pPr>
      <w:r w:rsidRPr="00A36839">
        <w:rPr>
          <w:rFonts w:ascii="Times" w:hAnsi="Times"/>
          <w:sz w:val="24"/>
          <w:szCs w:val="24"/>
        </w:rPr>
        <w:t>Most developed economies have trouble finding horticultural workers. The work is seasonal and physically demanding.</w:t>
      </w:r>
    </w:p>
    <w:p w14:paraId="077C4AF2" w14:textId="12D81479" w:rsidR="00A87E61" w:rsidRPr="00A36839" w:rsidRDefault="00A87E61">
      <w:pPr>
        <w:rPr>
          <w:rFonts w:ascii="Times" w:hAnsi="Times"/>
          <w:sz w:val="24"/>
          <w:szCs w:val="24"/>
        </w:rPr>
      </w:pPr>
      <w:r w:rsidRPr="00A36839">
        <w:rPr>
          <w:rFonts w:ascii="Times" w:hAnsi="Times"/>
          <w:sz w:val="24"/>
          <w:szCs w:val="24"/>
        </w:rPr>
        <w:t>One common outcome is a high degree of reliance on temporary migrant labour.</w:t>
      </w:r>
    </w:p>
    <w:p w14:paraId="2DFCC719" w14:textId="77777777" w:rsidR="00A36839" w:rsidRPr="00A36839" w:rsidRDefault="005A5480">
      <w:pPr>
        <w:rPr>
          <w:rFonts w:ascii="Times" w:hAnsi="Times"/>
          <w:sz w:val="24"/>
          <w:szCs w:val="24"/>
        </w:rPr>
      </w:pPr>
      <w:r w:rsidRPr="00A36839">
        <w:rPr>
          <w:rFonts w:ascii="Times" w:hAnsi="Times"/>
          <w:sz w:val="24"/>
          <w:szCs w:val="24"/>
        </w:rPr>
        <w:t xml:space="preserve">Since the 1980s Australian </w:t>
      </w:r>
      <w:r w:rsidR="00A87E61" w:rsidRPr="00A36839">
        <w:rPr>
          <w:rFonts w:ascii="Times" w:hAnsi="Times"/>
          <w:sz w:val="24"/>
          <w:szCs w:val="24"/>
        </w:rPr>
        <w:t>horticultural employers and their advocates have called for a designated agricultural worker visa which would tie the recipients to horticultural work, but without the employer being obligated to provide such work to the migrants in question.</w:t>
      </w:r>
    </w:p>
    <w:p w14:paraId="19BA8B74" w14:textId="77777777" w:rsidR="00A36839" w:rsidRPr="00A36839" w:rsidRDefault="00A87E61">
      <w:pPr>
        <w:rPr>
          <w:rFonts w:ascii="Times" w:hAnsi="Times"/>
          <w:sz w:val="24"/>
          <w:szCs w:val="24"/>
        </w:rPr>
      </w:pPr>
      <w:r w:rsidRPr="00A36839">
        <w:rPr>
          <w:rFonts w:ascii="Times" w:hAnsi="Times"/>
          <w:sz w:val="24"/>
          <w:szCs w:val="24"/>
        </w:rPr>
        <w:t>The Australian government has set up a Seasonal Work Program which is highly regulated. It requires employers to guarantee continuity of work as well as accommodation.</w:t>
      </w:r>
    </w:p>
    <w:p w14:paraId="44AE914E" w14:textId="556EE0FF" w:rsidR="00A87E61" w:rsidRPr="00A36839" w:rsidRDefault="005A5480">
      <w:pPr>
        <w:rPr>
          <w:rFonts w:ascii="Times" w:hAnsi="Times"/>
          <w:sz w:val="24"/>
          <w:szCs w:val="24"/>
        </w:rPr>
      </w:pPr>
      <w:r w:rsidRPr="00A36839">
        <w:rPr>
          <w:rFonts w:ascii="Times" w:hAnsi="Times"/>
          <w:sz w:val="24"/>
          <w:szCs w:val="24"/>
        </w:rPr>
        <w:t>However, it</w:t>
      </w:r>
      <w:r w:rsidR="00A87E61" w:rsidRPr="00A36839">
        <w:rPr>
          <w:rFonts w:ascii="Times" w:hAnsi="Times"/>
          <w:sz w:val="24"/>
          <w:szCs w:val="24"/>
        </w:rPr>
        <w:t xml:space="preserve"> has been used </w:t>
      </w:r>
      <w:r w:rsidRPr="00A36839">
        <w:rPr>
          <w:rFonts w:ascii="Times" w:hAnsi="Times"/>
          <w:sz w:val="24"/>
          <w:szCs w:val="24"/>
        </w:rPr>
        <w:t>s</w:t>
      </w:r>
      <w:r w:rsidR="00A87E61" w:rsidRPr="00A36839">
        <w:rPr>
          <w:rFonts w:ascii="Times" w:hAnsi="Times"/>
          <w:sz w:val="24"/>
          <w:szCs w:val="24"/>
        </w:rPr>
        <w:t xml:space="preserve">paringly </w:t>
      </w:r>
      <w:r w:rsidRPr="00A36839">
        <w:rPr>
          <w:rFonts w:ascii="Times" w:hAnsi="Times"/>
          <w:sz w:val="24"/>
          <w:szCs w:val="24"/>
        </w:rPr>
        <w:t xml:space="preserve">because of these </w:t>
      </w:r>
      <w:r w:rsidR="00A87E61" w:rsidRPr="00A36839">
        <w:rPr>
          <w:rFonts w:ascii="Times" w:hAnsi="Times"/>
          <w:sz w:val="24"/>
          <w:szCs w:val="24"/>
        </w:rPr>
        <w:t>employer obligations.</w:t>
      </w:r>
    </w:p>
    <w:p w14:paraId="0E4BD74E" w14:textId="77777777" w:rsidR="00A36839" w:rsidRPr="00A36839" w:rsidRDefault="00A87E61">
      <w:pPr>
        <w:rPr>
          <w:rFonts w:ascii="Times" w:hAnsi="Times"/>
          <w:sz w:val="24"/>
          <w:szCs w:val="24"/>
        </w:rPr>
      </w:pPr>
      <w:r w:rsidRPr="00A36839">
        <w:rPr>
          <w:rFonts w:ascii="Times" w:hAnsi="Times"/>
          <w:sz w:val="24"/>
          <w:szCs w:val="24"/>
        </w:rPr>
        <w:t>Instead</w:t>
      </w:r>
      <w:r w:rsidR="006A0F50" w:rsidRPr="00A36839">
        <w:rPr>
          <w:rFonts w:ascii="Times" w:hAnsi="Times"/>
          <w:sz w:val="24"/>
          <w:szCs w:val="24"/>
        </w:rPr>
        <w:t xml:space="preserve">, the horticulture industry has </w:t>
      </w:r>
      <w:r w:rsidR="005A5480" w:rsidRPr="00A36839">
        <w:rPr>
          <w:rFonts w:ascii="Times" w:hAnsi="Times"/>
          <w:sz w:val="24"/>
          <w:szCs w:val="24"/>
        </w:rPr>
        <w:t xml:space="preserve">successfully </w:t>
      </w:r>
      <w:r w:rsidR="006A0F50" w:rsidRPr="00A36839">
        <w:rPr>
          <w:rFonts w:ascii="Times" w:hAnsi="Times"/>
          <w:sz w:val="24"/>
          <w:szCs w:val="24"/>
        </w:rPr>
        <w:t xml:space="preserve">pushed for the transformation of the Working Holiday Maker program to suit </w:t>
      </w:r>
      <w:r w:rsidR="005A5480" w:rsidRPr="00A36839">
        <w:rPr>
          <w:rFonts w:ascii="Times" w:hAnsi="Times"/>
          <w:sz w:val="24"/>
          <w:szCs w:val="24"/>
        </w:rPr>
        <w:t xml:space="preserve">its </w:t>
      </w:r>
      <w:r w:rsidR="006A0F50" w:rsidRPr="00A36839">
        <w:rPr>
          <w:rFonts w:ascii="Times" w:hAnsi="Times"/>
          <w:sz w:val="24"/>
          <w:szCs w:val="24"/>
        </w:rPr>
        <w:t xml:space="preserve">workforce needs. </w:t>
      </w:r>
      <w:r w:rsidR="005F5F65" w:rsidRPr="00A36839">
        <w:rPr>
          <w:rFonts w:ascii="Times" w:hAnsi="Times"/>
          <w:sz w:val="24"/>
          <w:szCs w:val="24"/>
        </w:rPr>
        <w:t>WHMs are widely regarded as the ‘backbone’ of the workforce.</w:t>
      </w:r>
    </w:p>
    <w:p w14:paraId="333A1524" w14:textId="77777777" w:rsidR="00A36839" w:rsidRPr="00A36839" w:rsidRDefault="005F5F65">
      <w:pPr>
        <w:rPr>
          <w:rFonts w:ascii="Times" w:hAnsi="Times"/>
          <w:sz w:val="24"/>
          <w:szCs w:val="24"/>
        </w:rPr>
      </w:pPr>
      <w:r w:rsidRPr="00A36839">
        <w:rPr>
          <w:rFonts w:ascii="Times" w:hAnsi="Times"/>
          <w:sz w:val="24"/>
          <w:szCs w:val="24"/>
        </w:rPr>
        <w:t>I argue that this tag is no longer applicable. Other migrants on temporary visas now vie with WHMs as the core of the horticultural workforce.</w:t>
      </w:r>
    </w:p>
    <w:p w14:paraId="66FB5BC3" w14:textId="77777777" w:rsidR="00A36839" w:rsidRPr="00A36839" w:rsidRDefault="006A0F50">
      <w:pPr>
        <w:rPr>
          <w:rFonts w:ascii="Times" w:hAnsi="Times"/>
          <w:sz w:val="24"/>
          <w:szCs w:val="24"/>
        </w:rPr>
      </w:pPr>
      <w:r w:rsidRPr="00A36839">
        <w:rPr>
          <w:rFonts w:ascii="Times" w:hAnsi="Times"/>
          <w:sz w:val="24"/>
          <w:szCs w:val="24"/>
        </w:rPr>
        <w:t>The WHM program was originally a cultural program allowing recipients to work part of the time while on the visa.</w:t>
      </w:r>
    </w:p>
    <w:p w14:paraId="0E3F985F" w14:textId="77777777" w:rsidR="00A36839" w:rsidRPr="00A36839" w:rsidRDefault="005A5480">
      <w:pPr>
        <w:rPr>
          <w:rFonts w:ascii="Times" w:hAnsi="Times"/>
          <w:sz w:val="24"/>
          <w:szCs w:val="24"/>
        </w:rPr>
      </w:pPr>
      <w:r w:rsidRPr="00A36839">
        <w:rPr>
          <w:rFonts w:ascii="Times" w:hAnsi="Times"/>
          <w:sz w:val="24"/>
          <w:szCs w:val="24"/>
        </w:rPr>
        <w:t xml:space="preserve">It has since been restructured to </w:t>
      </w:r>
      <w:r w:rsidR="00AD0345" w:rsidRPr="00A36839">
        <w:rPr>
          <w:rFonts w:ascii="Times" w:hAnsi="Times"/>
          <w:sz w:val="24"/>
          <w:szCs w:val="24"/>
        </w:rPr>
        <w:t xml:space="preserve">allow WHMs a second year in Australia if they work for at least 88 days in </w:t>
      </w:r>
      <w:r w:rsidR="00BB721B" w:rsidRPr="00A36839">
        <w:rPr>
          <w:rFonts w:ascii="Times" w:hAnsi="Times"/>
          <w:sz w:val="24"/>
          <w:szCs w:val="24"/>
        </w:rPr>
        <w:t>horticulture</w:t>
      </w:r>
      <w:r w:rsidR="00AD0345" w:rsidRPr="00A36839">
        <w:rPr>
          <w:rFonts w:ascii="Times" w:hAnsi="Times"/>
          <w:sz w:val="24"/>
          <w:szCs w:val="24"/>
        </w:rPr>
        <w:t xml:space="preserve"> during the first year of their visa.</w:t>
      </w:r>
    </w:p>
    <w:p w14:paraId="01846517" w14:textId="77777777" w:rsidR="00A36839" w:rsidRPr="00A36839" w:rsidRDefault="00BB721B" w:rsidP="00AD0345">
      <w:pPr>
        <w:rPr>
          <w:rFonts w:ascii="Times" w:hAnsi="Times"/>
          <w:sz w:val="24"/>
          <w:szCs w:val="24"/>
        </w:rPr>
      </w:pPr>
      <w:r w:rsidRPr="00A36839">
        <w:rPr>
          <w:rFonts w:ascii="Times" w:hAnsi="Times"/>
          <w:sz w:val="24"/>
          <w:szCs w:val="24"/>
        </w:rPr>
        <w:t xml:space="preserve">However, only about 25 per cent of first year WHMs are taking up the agricultural option. Their numbers have stabilised at the point where they provide </w:t>
      </w:r>
      <w:r w:rsidR="00AD0345" w:rsidRPr="00A36839">
        <w:rPr>
          <w:rFonts w:ascii="Times" w:hAnsi="Times"/>
          <w:sz w:val="24"/>
          <w:szCs w:val="24"/>
        </w:rPr>
        <w:t>around a third of the horticultural workforce.</w:t>
      </w:r>
    </w:p>
    <w:p w14:paraId="2100D010" w14:textId="77777777" w:rsidR="00A36839" w:rsidRPr="00A36839" w:rsidRDefault="00AD0345" w:rsidP="00AD0345">
      <w:pPr>
        <w:rPr>
          <w:rFonts w:ascii="Times" w:hAnsi="Times"/>
          <w:sz w:val="24"/>
          <w:szCs w:val="24"/>
        </w:rPr>
      </w:pPr>
      <w:r w:rsidRPr="00A36839">
        <w:rPr>
          <w:rFonts w:ascii="Times" w:hAnsi="Times"/>
          <w:sz w:val="24"/>
          <w:szCs w:val="24"/>
        </w:rPr>
        <w:t>A major reason for this low uptake is that horticultural work features relatively low wages, poor working conditions and insecurity. This is largely because WHMs have no guarantee of horticultural work. They must compete with all other applicants and are thus vulnerable to exploitation.</w:t>
      </w:r>
    </w:p>
    <w:p w14:paraId="61634335" w14:textId="77777777" w:rsidR="00A36839" w:rsidRPr="00A36839" w:rsidRDefault="006A0F50">
      <w:pPr>
        <w:rPr>
          <w:rFonts w:ascii="Times" w:hAnsi="Times"/>
          <w:sz w:val="24"/>
          <w:szCs w:val="24"/>
        </w:rPr>
      </w:pPr>
      <w:r w:rsidRPr="00A36839">
        <w:rPr>
          <w:rFonts w:ascii="Times" w:hAnsi="Times"/>
          <w:sz w:val="24"/>
          <w:szCs w:val="24"/>
        </w:rPr>
        <w:t xml:space="preserve">Over the past decade, most of the gap </w:t>
      </w:r>
      <w:r w:rsidR="005A5480" w:rsidRPr="00A36839">
        <w:rPr>
          <w:rFonts w:ascii="Times" w:hAnsi="Times"/>
          <w:sz w:val="24"/>
          <w:szCs w:val="24"/>
        </w:rPr>
        <w:t xml:space="preserve">in the workforce remaining </w:t>
      </w:r>
      <w:r w:rsidRPr="00A36839">
        <w:rPr>
          <w:rFonts w:ascii="Times" w:hAnsi="Times"/>
          <w:sz w:val="24"/>
          <w:szCs w:val="24"/>
        </w:rPr>
        <w:t xml:space="preserve">has been filled by </w:t>
      </w:r>
      <w:r w:rsidR="00AD0345" w:rsidRPr="00A36839">
        <w:rPr>
          <w:rFonts w:ascii="Times" w:hAnsi="Times"/>
          <w:sz w:val="24"/>
          <w:szCs w:val="24"/>
        </w:rPr>
        <w:t xml:space="preserve">other </w:t>
      </w:r>
      <w:r w:rsidRPr="00A36839">
        <w:rPr>
          <w:rFonts w:ascii="Times" w:hAnsi="Times"/>
          <w:sz w:val="24"/>
          <w:szCs w:val="24"/>
        </w:rPr>
        <w:t>temporary migrants, including overseas students and visitors.</w:t>
      </w:r>
    </w:p>
    <w:p w14:paraId="466B6A44" w14:textId="77777777" w:rsidR="00A36839" w:rsidRPr="00A36839" w:rsidRDefault="006A0F50" w:rsidP="00BB721B">
      <w:pPr>
        <w:rPr>
          <w:rFonts w:ascii="Times" w:hAnsi="Times"/>
          <w:sz w:val="24"/>
          <w:szCs w:val="24"/>
        </w:rPr>
      </w:pPr>
      <w:r w:rsidRPr="00A36839">
        <w:rPr>
          <w:rFonts w:ascii="Times" w:hAnsi="Times"/>
          <w:sz w:val="24"/>
          <w:szCs w:val="24"/>
        </w:rPr>
        <w:t>Their availability is a consequence of decisions of successive governments to give temporary migrants access to the Australian labour market</w:t>
      </w:r>
      <w:r w:rsidR="00BB721B" w:rsidRPr="00A36839">
        <w:rPr>
          <w:rFonts w:ascii="Times" w:hAnsi="Times"/>
          <w:sz w:val="24"/>
          <w:szCs w:val="24"/>
        </w:rPr>
        <w:t xml:space="preserve">, as with overseas students who in return for enrolling in </w:t>
      </w:r>
      <w:r w:rsidRPr="00A36839">
        <w:rPr>
          <w:rFonts w:ascii="Times" w:hAnsi="Times"/>
          <w:sz w:val="24"/>
          <w:szCs w:val="24"/>
        </w:rPr>
        <w:t xml:space="preserve">an education institution </w:t>
      </w:r>
      <w:r w:rsidR="00BB721B" w:rsidRPr="00A36839">
        <w:rPr>
          <w:rFonts w:ascii="Times" w:hAnsi="Times"/>
          <w:sz w:val="24"/>
          <w:szCs w:val="24"/>
        </w:rPr>
        <w:t>are allowed access to the Australian labour market.</w:t>
      </w:r>
    </w:p>
    <w:p w14:paraId="0D3DEF08" w14:textId="77777777" w:rsidR="00A36839" w:rsidRPr="00A36839" w:rsidRDefault="00BB721B" w:rsidP="00BB721B">
      <w:pPr>
        <w:rPr>
          <w:rFonts w:ascii="Times" w:hAnsi="Times"/>
          <w:sz w:val="24"/>
          <w:szCs w:val="24"/>
        </w:rPr>
      </w:pPr>
      <w:r w:rsidRPr="00A36839">
        <w:rPr>
          <w:rFonts w:ascii="Times" w:hAnsi="Times"/>
          <w:sz w:val="24"/>
          <w:szCs w:val="24"/>
        </w:rPr>
        <w:t>In addition successive governments have allowed temporary migrants to stay on in Australia by transferring from one temporary visa to another.</w:t>
      </w:r>
    </w:p>
    <w:p w14:paraId="6FE3F052" w14:textId="77777777" w:rsidR="00A36839" w:rsidRPr="00A36839" w:rsidRDefault="00BB721B">
      <w:pPr>
        <w:rPr>
          <w:rFonts w:ascii="Times" w:hAnsi="Times"/>
          <w:sz w:val="24"/>
          <w:szCs w:val="24"/>
        </w:rPr>
      </w:pPr>
      <w:r w:rsidRPr="00A36839">
        <w:rPr>
          <w:rFonts w:ascii="Times" w:hAnsi="Times"/>
          <w:sz w:val="24"/>
          <w:szCs w:val="24"/>
        </w:rPr>
        <w:t>The number of these temporary migrants is enormous; some 2.4 million were in Australia as of December 2019.</w:t>
      </w:r>
    </w:p>
    <w:p w14:paraId="66A4D3EA" w14:textId="77777777" w:rsidR="00A36839" w:rsidRPr="00A36839" w:rsidRDefault="00BB721B">
      <w:pPr>
        <w:rPr>
          <w:rFonts w:ascii="Times" w:hAnsi="Times"/>
          <w:sz w:val="24"/>
          <w:szCs w:val="24"/>
        </w:rPr>
      </w:pPr>
      <w:r w:rsidRPr="00A36839">
        <w:rPr>
          <w:rFonts w:ascii="Times" w:hAnsi="Times"/>
          <w:sz w:val="24"/>
          <w:szCs w:val="24"/>
        </w:rPr>
        <w:lastRenderedPageBreak/>
        <w:t>These temporary migrants are desperate for work and over the last decade many have sought horticultural employment.</w:t>
      </w:r>
    </w:p>
    <w:p w14:paraId="4FE8FC51" w14:textId="77777777" w:rsidR="00A36839" w:rsidRPr="00A36839" w:rsidRDefault="00AD0345">
      <w:pPr>
        <w:rPr>
          <w:rFonts w:ascii="Times" w:hAnsi="Times"/>
          <w:sz w:val="24"/>
          <w:szCs w:val="24"/>
        </w:rPr>
      </w:pPr>
      <w:r w:rsidRPr="00A36839">
        <w:rPr>
          <w:rFonts w:ascii="Times" w:hAnsi="Times"/>
          <w:sz w:val="24"/>
          <w:szCs w:val="24"/>
        </w:rPr>
        <w:t xml:space="preserve">Like WHMs, these temporary migrants have no </w:t>
      </w:r>
      <w:r w:rsidR="00BB721B" w:rsidRPr="00A36839">
        <w:rPr>
          <w:rFonts w:ascii="Times" w:hAnsi="Times"/>
          <w:sz w:val="24"/>
          <w:szCs w:val="24"/>
        </w:rPr>
        <w:t xml:space="preserve">guarantee of horticultural </w:t>
      </w:r>
      <w:r w:rsidR="00A37900" w:rsidRPr="00A36839">
        <w:rPr>
          <w:rFonts w:ascii="Times" w:hAnsi="Times"/>
          <w:sz w:val="24"/>
          <w:szCs w:val="24"/>
        </w:rPr>
        <w:t xml:space="preserve">work and are </w:t>
      </w:r>
      <w:r w:rsidR="00BB721B" w:rsidRPr="00A36839">
        <w:rPr>
          <w:rFonts w:ascii="Times" w:hAnsi="Times"/>
          <w:sz w:val="24"/>
          <w:szCs w:val="24"/>
        </w:rPr>
        <w:t xml:space="preserve">also </w:t>
      </w:r>
      <w:r w:rsidR="00A37900" w:rsidRPr="00A36839">
        <w:rPr>
          <w:rFonts w:ascii="Times" w:hAnsi="Times"/>
          <w:sz w:val="24"/>
          <w:szCs w:val="24"/>
        </w:rPr>
        <w:t>vulnerable to exploitation.</w:t>
      </w:r>
    </w:p>
    <w:p w14:paraId="6F398A46" w14:textId="77777777" w:rsidR="00A36839" w:rsidRPr="00A36839" w:rsidRDefault="00DE22B8">
      <w:pPr>
        <w:rPr>
          <w:rFonts w:ascii="Times" w:hAnsi="Times"/>
          <w:sz w:val="24"/>
          <w:szCs w:val="24"/>
        </w:rPr>
      </w:pPr>
      <w:r w:rsidRPr="00A36839">
        <w:rPr>
          <w:rFonts w:ascii="Times" w:hAnsi="Times"/>
          <w:sz w:val="24"/>
          <w:szCs w:val="24"/>
        </w:rPr>
        <w:t>The result is that horticultural employment is notable for its poor work conditions.</w:t>
      </w:r>
    </w:p>
    <w:p w14:paraId="333F87B4" w14:textId="77AC48D6" w:rsidR="00A36839" w:rsidRPr="00A36839" w:rsidRDefault="00A37900">
      <w:pPr>
        <w:rPr>
          <w:rFonts w:ascii="Times" w:hAnsi="Times"/>
          <w:sz w:val="24"/>
          <w:szCs w:val="24"/>
        </w:rPr>
      </w:pPr>
      <w:r w:rsidRPr="00A36839">
        <w:rPr>
          <w:rFonts w:ascii="Times" w:hAnsi="Times"/>
          <w:sz w:val="24"/>
          <w:szCs w:val="24"/>
        </w:rPr>
        <w:t xml:space="preserve">Horticultural employers </w:t>
      </w:r>
      <w:r w:rsidR="00DE22B8" w:rsidRPr="00A36839">
        <w:rPr>
          <w:rFonts w:ascii="Times" w:hAnsi="Times"/>
          <w:sz w:val="24"/>
          <w:szCs w:val="24"/>
        </w:rPr>
        <w:t xml:space="preserve">cannot attract resident workers. These employers </w:t>
      </w:r>
      <w:r w:rsidR="005A6933">
        <w:rPr>
          <w:rFonts w:ascii="Times" w:hAnsi="Times"/>
          <w:sz w:val="24"/>
          <w:szCs w:val="24"/>
        </w:rPr>
        <w:t>and</w:t>
      </w:r>
      <w:r w:rsidR="00DE22B8" w:rsidRPr="00A36839">
        <w:rPr>
          <w:rFonts w:ascii="Times" w:hAnsi="Times"/>
          <w:sz w:val="24"/>
          <w:szCs w:val="24"/>
        </w:rPr>
        <w:t xml:space="preserve"> their advocates continue to call for a </w:t>
      </w:r>
      <w:r w:rsidRPr="00A36839">
        <w:rPr>
          <w:rFonts w:ascii="Times" w:hAnsi="Times"/>
          <w:sz w:val="24"/>
          <w:szCs w:val="24"/>
        </w:rPr>
        <w:t xml:space="preserve">designated </w:t>
      </w:r>
      <w:r w:rsidR="00DE22B8" w:rsidRPr="00A36839">
        <w:rPr>
          <w:rFonts w:ascii="Times" w:hAnsi="Times"/>
          <w:sz w:val="24"/>
          <w:szCs w:val="24"/>
        </w:rPr>
        <w:t xml:space="preserve">temporary migrant </w:t>
      </w:r>
      <w:r w:rsidRPr="00A36839">
        <w:rPr>
          <w:rFonts w:ascii="Times" w:hAnsi="Times"/>
          <w:sz w:val="24"/>
          <w:szCs w:val="24"/>
        </w:rPr>
        <w:t>agricultural visa.</w:t>
      </w:r>
    </w:p>
    <w:p w14:paraId="3AA29AB0" w14:textId="77777777" w:rsidR="00A36839" w:rsidRPr="00A36839" w:rsidRDefault="005A5480">
      <w:pPr>
        <w:rPr>
          <w:rFonts w:ascii="Times" w:hAnsi="Times"/>
          <w:sz w:val="24"/>
          <w:szCs w:val="24"/>
        </w:rPr>
      </w:pPr>
      <w:r w:rsidRPr="00A36839">
        <w:rPr>
          <w:rFonts w:ascii="Times" w:hAnsi="Times"/>
          <w:sz w:val="24"/>
          <w:szCs w:val="24"/>
        </w:rPr>
        <w:t xml:space="preserve">This is not the way to go. Moreover, in the aftermath of </w:t>
      </w:r>
      <w:r w:rsidR="00A37900" w:rsidRPr="00A36839">
        <w:rPr>
          <w:rFonts w:ascii="Times" w:hAnsi="Times"/>
          <w:sz w:val="24"/>
          <w:szCs w:val="24"/>
        </w:rPr>
        <w:t>Covid-19</w:t>
      </w:r>
      <w:r w:rsidRPr="00A36839">
        <w:rPr>
          <w:rFonts w:ascii="Times" w:hAnsi="Times"/>
          <w:sz w:val="24"/>
          <w:szCs w:val="24"/>
        </w:rPr>
        <w:t xml:space="preserve"> it is unlikely to be feasible.</w:t>
      </w:r>
    </w:p>
    <w:p w14:paraId="4754166C" w14:textId="77777777" w:rsidR="00A36839" w:rsidRPr="00A36839" w:rsidRDefault="00A37900">
      <w:pPr>
        <w:rPr>
          <w:rFonts w:ascii="Times" w:hAnsi="Times"/>
          <w:sz w:val="24"/>
          <w:szCs w:val="24"/>
        </w:rPr>
      </w:pPr>
      <w:r w:rsidRPr="00A36839">
        <w:rPr>
          <w:rFonts w:ascii="Times" w:hAnsi="Times"/>
          <w:sz w:val="24"/>
          <w:szCs w:val="24"/>
        </w:rPr>
        <w:t xml:space="preserve">The industry will have to find another way, </w:t>
      </w:r>
      <w:r w:rsidR="00DE22B8" w:rsidRPr="00A36839">
        <w:rPr>
          <w:rFonts w:ascii="Times" w:hAnsi="Times"/>
          <w:sz w:val="24"/>
          <w:szCs w:val="24"/>
        </w:rPr>
        <w:t xml:space="preserve">focussing on increased </w:t>
      </w:r>
      <w:r w:rsidRPr="00A36839">
        <w:rPr>
          <w:rFonts w:ascii="Times" w:hAnsi="Times"/>
          <w:sz w:val="24"/>
          <w:szCs w:val="24"/>
        </w:rPr>
        <w:t xml:space="preserve">mechanisation of </w:t>
      </w:r>
      <w:r w:rsidR="005A5480" w:rsidRPr="00A36839">
        <w:rPr>
          <w:rFonts w:ascii="Times" w:hAnsi="Times"/>
          <w:sz w:val="24"/>
          <w:szCs w:val="24"/>
        </w:rPr>
        <w:t xml:space="preserve">horticulture </w:t>
      </w:r>
      <w:r w:rsidRPr="00A36839">
        <w:rPr>
          <w:rFonts w:ascii="Times" w:hAnsi="Times"/>
          <w:sz w:val="24"/>
          <w:szCs w:val="24"/>
        </w:rPr>
        <w:t>work.</w:t>
      </w:r>
    </w:p>
    <w:p w14:paraId="63650703" w14:textId="1109ECA4" w:rsidR="006E3B35" w:rsidRPr="00A36839" w:rsidRDefault="006E3B35" w:rsidP="00A36839">
      <w:pPr>
        <w:pStyle w:val="Heading2"/>
        <w:rPr>
          <w:b w:val="0"/>
          <w:szCs w:val="24"/>
        </w:rPr>
      </w:pPr>
      <w:bookmarkStart w:id="2" w:name="_Toc46319540"/>
      <w:bookmarkStart w:id="3" w:name="_Toc46319726"/>
      <w:r w:rsidRPr="00A36839">
        <w:rPr>
          <w:szCs w:val="24"/>
        </w:rPr>
        <w:t>Australia’s agricultural industry</w:t>
      </w:r>
      <w:bookmarkEnd w:id="2"/>
      <w:bookmarkEnd w:id="3"/>
    </w:p>
    <w:p w14:paraId="490A37AC" w14:textId="77777777" w:rsidR="00A36839" w:rsidRPr="00A36839" w:rsidRDefault="00B35E89">
      <w:pPr>
        <w:rPr>
          <w:rFonts w:ascii="Times" w:hAnsi="Times"/>
          <w:sz w:val="24"/>
          <w:szCs w:val="24"/>
        </w:rPr>
      </w:pPr>
      <w:r w:rsidRPr="00A36839">
        <w:rPr>
          <w:rFonts w:ascii="Times" w:hAnsi="Times"/>
          <w:sz w:val="24"/>
          <w:szCs w:val="24"/>
        </w:rPr>
        <w:t>Australia’s agricultural industry</w:t>
      </w:r>
      <w:r w:rsidR="005E0A6C" w:rsidRPr="00A36839">
        <w:rPr>
          <w:rFonts w:ascii="Times" w:hAnsi="Times"/>
          <w:sz w:val="24"/>
          <w:szCs w:val="24"/>
        </w:rPr>
        <w:t>, which employs some 300,000 workers,</w:t>
      </w:r>
      <w:r w:rsidRPr="00A36839">
        <w:rPr>
          <w:rFonts w:ascii="Times" w:hAnsi="Times"/>
          <w:sz w:val="24"/>
          <w:szCs w:val="24"/>
        </w:rPr>
        <w:t xml:space="preserve"> can be divided into two categories.</w:t>
      </w:r>
    </w:p>
    <w:p w14:paraId="1E42AAB1" w14:textId="77777777" w:rsidR="00A36839" w:rsidRPr="00A36839" w:rsidRDefault="00B35E89">
      <w:pPr>
        <w:rPr>
          <w:rFonts w:ascii="Times" w:hAnsi="Times"/>
          <w:sz w:val="24"/>
          <w:szCs w:val="24"/>
        </w:rPr>
      </w:pPr>
      <w:r w:rsidRPr="00A36839">
        <w:rPr>
          <w:rFonts w:ascii="Times" w:hAnsi="Times"/>
          <w:sz w:val="24"/>
          <w:szCs w:val="24"/>
        </w:rPr>
        <w:t>The first concerns broad-acre grain, wool and meat</w:t>
      </w:r>
      <w:r w:rsidR="005E0A6C" w:rsidRPr="00A36839">
        <w:rPr>
          <w:rFonts w:ascii="Times" w:hAnsi="Times"/>
          <w:sz w:val="24"/>
          <w:szCs w:val="24"/>
        </w:rPr>
        <w:t xml:space="preserve"> industries. This sector employs just over half the agricultural workforce. </w:t>
      </w:r>
      <w:r w:rsidRPr="00A36839">
        <w:rPr>
          <w:rFonts w:ascii="Times" w:hAnsi="Times"/>
          <w:sz w:val="24"/>
          <w:szCs w:val="24"/>
        </w:rPr>
        <w:t>The</w:t>
      </w:r>
      <w:r w:rsidR="005E0A6C" w:rsidRPr="00A36839">
        <w:rPr>
          <w:rFonts w:ascii="Times" w:hAnsi="Times"/>
          <w:sz w:val="24"/>
          <w:szCs w:val="24"/>
        </w:rPr>
        <w:t xml:space="preserve"> industries in question </w:t>
      </w:r>
      <w:r w:rsidRPr="00A36839">
        <w:rPr>
          <w:rFonts w:ascii="Times" w:hAnsi="Times"/>
          <w:sz w:val="24"/>
          <w:szCs w:val="24"/>
        </w:rPr>
        <w:t xml:space="preserve">have </w:t>
      </w:r>
      <w:r w:rsidR="006E3B35" w:rsidRPr="00A36839">
        <w:rPr>
          <w:rFonts w:ascii="Times" w:hAnsi="Times"/>
          <w:sz w:val="24"/>
          <w:szCs w:val="24"/>
        </w:rPr>
        <w:t>succeeded in finding a profitable niche in the</w:t>
      </w:r>
      <w:r w:rsidR="00415FE4" w:rsidRPr="00A36839">
        <w:rPr>
          <w:rFonts w:ascii="Times" w:hAnsi="Times"/>
          <w:sz w:val="24"/>
          <w:szCs w:val="24"/>
        </w:rPr>
        <w:t xml:space="preserve"> </w:t>
      </w:r>
      <w:r w:rsidRPr="00A36839">
        <w:rPr>
          <w:rFonts w:ascii="Times" w:hAnsi="Times"/>
          <w:sz w:val="24"/>
          <w:szCs w:val="24"/>
        </w:rPr>
        <w:t>international marketplace. They are exemplars of the Australian government’s objective of promoting industries that have a comparative advantage in this marketplace.</w:t>
      </w:r>
    </w:p>
    <w:p w14:paraId="64C2B181" w14:textId="28068C57" w:rsidR="00415FE4" w:rsidRPr="00A36839" w:rsidRDefault="006E3B35">
      <w:pPr>
        <w:rPr>
          <w:rFonts w:ascii="Times" w:hAnsi="Times"/>
          <w:sz w:val="24"/>
          <w:szCs w:val="24"/>
        </w:rPr>
      </w:pPr>
      <w:r w:rsidRPr="00A36839">
        <w:rPr>
          <w:rFonts w:ascii="Times" w:hAnsi="Times"/>
          <w:sz w:val="24"/>
          <w:szCs w:val="24"/>
        </w:rPr>
        <w:t>T</w:t>
      </w:r>
      <w:r w:rsidR="00E035AE" w:rsidRPr="00A36839">
        <w:rPr>
          <w:rFonts w:ascii="Times" w:hAnsi="Times"/>
          <w:sz w:val="24"/>
          <w:szCs w:val="24"/>
        </w:rPr>
        <w:t>h</w:t>
      </w:r>
      <w:r w:rsidR="005E0A6C" w:rsidRPr="00A36839">
        <w:rPr>
          <w:rFonts w:ascii="Times" w:hAnsi="Times"/>
          <w:sz w:val="24"/>
          <w:szCs w:val="24"/>
        </w:rPr>
        <w:t xml:space="preserve">is sector is </w:t>
      </w:r>
      <w:r w:rsidR="00B35E89" w:rsidRPr="00A36839">
        <w:rPr>
          <w:rFonts w:ascii="Times" w:hAnsi="Times"/>
          <w:sz w:val="24"/>
          <w:szCs w:val="24"/>
        </w:rPr>
        <w:t xml:space="preserve">notable for </w:t>
      </w:r>
      <w:r w:rsidR="005E0A6C" w:rsidRPr="00A36839">
        <w:rPr>
          <w:rFonts w:ascii="Times" w:hAnsi="Times"/>
          <w:sz w:val="24"/>
          <w:szCs w:val="24"/>
        </w:rPr>
        <w:t>its</w:t>
      </w:r>
      <w:r w:rsidR="00B35E89" w:rsidRPr="00A36839">
        <w:rPr>
          <w:rFonts w:ascii="Times" w:hAnsi="Times"/>
          <w:sz w:val="24"/>
          <w:szCs w:val="24"/>
        </w:rPr>
        <w:t xml:space="preserve"> huge investment in </w:t>
      </w:r>
      <w:r w:rsidR="00E035AE" w:rsidRPr="00A36839">
        <w:rPr>
          <w:rFonts w:ascii="Times" w:hAnsi="Times"/>
          <w:sz w:val="24"/>
          <w:szCs w:val="24"/>
        </w:rPr>
        <w:t xml:space="preserve">farm consolidation, in </w:t>
      </w:r>
      <w:r w:rsidR="000D2D92" w:rsidRPr="00A36839">
        <w:rPr>
          <w:rFonts w:ascii="Times" w:hAnsi="Times"/>
          <w:sz w:val="24"/>
          <w:szCs w:val="24"/>
        </w:rPr>
        <w:t>capital intensive cultivation and harvesting equipment, and in high technology support (lase</w:t>
      </w:r>
      <w:r w:rsidR="003744E0" w:rsidRPr="00A36839">
        <w:rPr>
          <w:rFonts w:ascii="Times" w:hAnsi="Times"/>
          <w:sz w:val="24"/>
          <w:szCs w:val="24"/>
        </w:rPr>
        <w:t>r</w:t>
      </w:r>
      <w:r w:rsidR="000D2D92" w:rsidRPr="00A36839">
        <w:rPr>
          <w:rFonts w:ascii="Times" w:hAnsi="Times"/>
          <w:sz w:val="24"/>
          <w:szCs w:val="24"/>
        </w:rPr>
        <w:t xml:space="preserve"> ploughing and the like). </w:t>
      </w:r>
      <w:r w:rsidRPr="00A36839">
        <w:rPr>
          <w:rFonts w:ascii="Times" w:hAnsi="Times"/>
          <w:sz w:val="24"/>
          <w:szCs w:val="24"/>
        </w:rPr>
        <w:t xml:space="preserve">It has </w:t>
      </w:r>
      <w:r w:rsidR="00B957DE" w:rsidRPr="00A36839">
        <w:rPr>
          <w:rFonts w:ascii="Times" w:hAnsi="Times"/>
          <w:sz w:val="24"/>
          <w:szCs w:val="24"/>
        </w:rPr>
        <w:t xml:space="preserve">been assisted over the years by </w:t>
      </w:r>
      <w:r w:rsidR="00A0405D" w:rsidRPr="00A36839">
        <w:rPr>
          <w:rFonts w:ascii="Times" w:hAnsi="Times"/>
          <w:sz w:val="24"/>
          <w:szCs w:val="24"/>
        </w:rPr>
        <w:t xml:space="preserve">governments </w:t>
      </w:r>
      <w:r w:rsidRPr="00A36839">
        <w:rPr>
          <w:rFonts w:ascii="Times" w:hAnsi="Times"/>
          <w:sz w:val="24"/>
          <w:szCs w:val="24"/>
        </w:rPr>
        <w:t>in achieving this outcome</w:t>
      </w:r>
      <w:r w:rsidR="003744E0" w:rsidRPr="00A36839">
        <w:rPr>
          <w:rFonts w:ascii="Times" w:hAnsi="Times"/>
          <w:sz w:val="24"/>
          <w:szCs w:val="24"/>
        </w:rPr>
        <w:t>.</w:t>
      </w:r>
      <w:r w:rsidR="00415FE4" w:rsidRPr="00A36839">
        <w:rPr>
          <w:rFonts w:ascii="Times" w:hAnsi="Times"/>
          <w:sz w:val="24"/>
          <w:szCs w:val="24"/>
        </w:rPr>
        <w:t xml:space="preserve"> </w:t>
      </w:r>
      <w:r w:rsidRPr="00A36839">
        <w:rPr>
          <w:rFonts w:ascii="Times" w:hAnsi="Times"/>
          <w:sz w:val="24"/>
          <w:szCs w:val="24"/>
        </w:rPr>
        <w:t>It employs only a small number</w:t>
      </w:r>
      <w:r w:rsidR="003D7125" w:rsidRPr="00A36839">
        <w:rPr>
          <w:rFonts w:ascii="Times" w:hAnsi="Times"/>
          <w:sz w:val="24"/>
          <w:szCs w:val="24"/>
        </w:rPr>
        <w:t xml:space="preserve"> of </w:t>
      </w:r>
      <w:r w:rsidR="00E035AE" w:rsidRPr="00A36839">
        <w:rPr>
          <w:rFonts w:ascii="Times" w:hAnsi="Times"/>
          <w:sz w:val="24"/>
          <w:szCs w:val="24"/>
        </w:rPr>
        <w:t xml:space="preserve">low skilled </w:t>
      </w:r>
      <w:r w:rsidRPr="00A36839">
        <w:rPr>
          <w:rFonts w:ascii="Times" w:hAnsi="Times"/>
          <w:sz w:val="24"/>
          <w:szCs w:val="24"/>
        </w:rPr>
        <w:t xml:space="preserve">workers, </w:t>
      </w:r>
      <w:r w:rsidR="00E035AE" w:rsidRPr="00A36839">
        <w:rPr>
          <w:rFonts w:ascii="Times" w:hAnsi="Times"/>
          <w:sz w:val="24"/>
          <w:szCs w:val="24"/>
        </w:rPr>
        <w:t xml:space="preserve">including </w:t>
      </w:r>
      <w:r w:rsidRPr="00A36839">
        <w:rPr>
          <w:rFonts w:ascii="Times" w:hAnsi="Times"/>
          <w:sz w:val="24"/>
          <w:szCs w:val="24"/>
        </w:rPr>
        <w:t>those holding temporary migrant visas.</w:t>
      </w:r>
    </w:p>
    <w:p w14:paraId="5150B8BD" w14:textId="32659B8C" w:rsidR="00415FE4" w:rsidRPr="00A36839" w:rsidRDefault="006E3B35" w:rsidP="006E3B35">
      <w:pPr>
        <w:rPr>
          <w:rFonts w:ascii="Times" w:hAnsi="Times"/>
          <w:sz w:val="24"/>
          <w:szCs w:val="24"/>
        </w:rPr>
      </w:pPr>
      <w:r w:rsidRPr="00A36839">
        <w:rPr>
          <w:rFonts w:ascii="Times" w:hAnsi="Times"/>
          <w:sz w:val="24"/>
          <w:szCs w:val="24"/>
        </w:rPr>
        <w:t xml:space="preserve">An impressive example </w:t>
      </w:r>
      <w:r w:rsidR="003D7125" w:rsidRPr="00A36839">
        <w:rPr>
          <w:rFonts w:ascii="Times" w:hAnsi="Times"/>
          <w:sz w:val="24"/>
          <w:szCs w:val="24"/>
        </w:rPr>
        <w:t xml:space="preserve">is </w:t>
      </w:r>
      <w:r w:rsidRPr="00A36839">
        <w:rPr>
          <w:rFonts w:ascii="Times" w:hAnsi="Times"/>
          <w:sz w:val="24"/>
          <w:szCs w:val="24"/>
        </w:rPr>
        <w:t>the grain industry</w:t>
      </w:r>
      <w:r w:rsidR="00AA64E2" w:rsidRPr="00A36839">
        <w:rPr>
          <w:rFonts w:ascii="Times" w:hAnsi="Times"/>
          <w:sz w:val="24"/>
          <w:szCs w:val="24"/>
        </w:rPr>
        <w:t xml:space="preserve">. It is producing wheat and other grains in </w:t>
      </w:r>
      <w:r w:rsidRPr="00A36839">
        <w:rPr>
          <w:rFonts w:ascii="Times" w:hAnsi="Times"/>
          <w:sz w:val="24"/>
          <w:szCs w:val="24"/>
        </w:rPr>
        <w:t xml:space="preserve">arid zones, like the Mallee, which </w:t>
      </w:r>
      <w:r w:rsidR="00AA64E2" w:rsidRPr="00A36839">
        <w:rPr>
          <w:rFonts w:ascii="Times" w:hAnsi="Times"/>
          <w:sz w:val="24"/>
          <w:szCs w:val="24"/>
        </w:rPr>
        <w:t>are competitive in international markets. I</w:t>
      </w:r>
      <w:r w:rsidRPr="00A36839">
        <w:rPr>
          <w:rFonts w:ascii="Times" w:hAnsi="Times"/>
          <w:sz w:val="24"/>
          <w:szCs w:val="24"/>
        </w:rPr>
        <w:t xml:space="preserve">t has done so in </w:t>
      </w:r>
      <w:r w:rsidR="00AA64E2" w:rsidRPr="00A36839">
        <w:rPr>
          <w:rFonts w:ascii="Times" w:hAnsi="Times"/>
          <w:sz w:val="24"/>
          <w:szCs w:val="24"/>
        </w:rPr>
        <w:t xml:space="preserve">large </w:t>
      </w:r>
      <w:r w:rsidRPr="00A36839">
        <w:rPr>
          <w:rFonts w:ascii="Times" w:hAnsi="Times"/>
          <w:sz w:val="24"/>
          <w:szCs w:val="24"/>
        </w:rPr>
        <w:t xml:space="preserve">part </w:t>
      </w:r>
      <w:r w:rsidR="00AA64E2" w:rsidRPr="00A36839">
        <w:rPr>
          <w:rFonts w:ascii="Times" w:hAnsi="Times"/>
          <w:sz w:val="24"/>
          <w:szCs w:val="24"/>
        </w:rPr>
        <w:t>through a century long process of farm consolidation</w:t>
      </w:r>
      <w:r w:rsidRPr="00A36839">
        <w:rPr>
          <w:rFonts w:ascii="Times" w:hAnsi="Times"/>
          <w:sz w:val="24"/>
          <w:szCs w:val="24"/>
        </w:rPr>
        <w:t xml:space="preserve">. </w:t>
      </w:r>
      <w:r w:rsidR="00AA64E2" w:rsidRPr="00A36839">
        <w:rPr>
          <w:rFonts w:ascii="Times" w:hAnsi="Times"/>
          <w:sz w:val="24"/>
          <w:szCs w:val="24"/>
        </w:rPr>
        <w:t xml:space="preserve">The huge scale of the </w:t>
      </w:r>
      <w:r w:rsidRPr="00A36839">
        <w:rPr>
          <w:rFonts w:ascii="Times" w:hAnsi="Times"/>
          <w:sz w:val="24"/>
          <w:szCs w:val="24"/>
        </w:rPr>
        <w:t xml:space="preserve">farms </w:t>
      </w:r>
      <w:r w:rsidR="00AA64E2" w:rsidRPr="00A36839">
        <w:rPr>
          <w:rFonts w:ascii="Times" w:hAnsi="Times"/>
          <w:sz w:val="24"/>
          <w:szCs w:val="24"/>
        </w:rPr>
        <w:t>resulting has allowed producers to achieve very high output per worker employed, even though (given the arid nature of the area) output per hectare is low by world standards.</w:t>
      </w:r>
    </w:p>
    <w:p w14:paraId="40B9F228" w14:textId="77777777" w:rsidR="00A36839" w:rsidRPr="00A36839" w:rsidRDefault="00E035AE" w:rsidP="003E254B">
      <w:pPr>
        <w:rPr>
          <w:rFonts w:ascii="Times" w:hAnsi="Times"/>
          <w:sz w:val="24"/>
          <w:szCs w:val="24"/>
        </w:rPr>
      </w:pPr>
      <w:r w:rsidRPr="00A36839">
        <w:rPr>
          <w:rFonts w:ascii="Times" w:hAnsi="Times"/>
          <w:sz w:val="24"/>
          <w:szCs w:val="24"/>
        </w:rPr>
        <w:t>The second category</w:t>
      </w:r>
      <w:r w:rsidR="000D2D92" w:rsidRPr="00A36839">
        <w:rPr>
          <w:rFonts w:ascii="Times" w:hAnsi="Times"/>
          <w:sz w:val="24"/>
          <w:szCs w:val="24"/>
        </w:rPr>
        <w:t xml:space="preserve"> is</w:t>
      </w:r>
      <w:r w:rsidRPr="00A36839">
        <w:rPr>
          <w:rFonts w:ascii="Times" w:hAnsi="Times"/>
          <w:sz w:val="24"/>
          <w:szCs w:val="24"/>
        </w:rPr>
        <w:t xml:space="preserve"> </w:t>
      </w:r>
      <w:r w:rsidR="00D84A7D" w:rsidRPr="00A36839">
        <w:rPr>
          <w:rFonts w:ascii="Times" w:hAnsi="Times"/>
          <w:sz w:val="24"/>
          <w:szCs w:val="24"/>
        </w:rPr>
        <w:t xml:space="preserve">the horticultural industry, which </w:t>
      </w:r>
      <w:r w:rsidRPr="00A36839">
        <w:rPr>
          <w:rFonts w:ascii="Times" w:hAnsi="Times"/>
          <w:sz w:val="24"/>
          <w:szCs w:val="24"/>
        </w:rPr>
        <w:t>is the focus of this submission</w:t>
      </w:r>
      <w:r w:rsidR="000D2D92" w:rsidRPr="00A36839">
        <w:rPr>
          <w:rFonts w:ascii="Times" w:hAnsi="Times"/>
          <w:sz w:val="24"/>
          <w:szCs w:val="24"/>
        </w:rPr>
        <w:t xml:space="preserve">. It is a </w:t>
      </w:r>
      <w:r w:rsidRPr="00A36839">
        <w:rPr>
          <w:rFonts w:ascii="Times" w:hAnsi="Times"/>
          <w:sz w:val="24"/>
          <w:szCs w:val="24"/>
        </w:rPr>
        <w:t xml:space="preserve">virtual mirror image of the first category. </w:t>
      </w:r>
      <w:r w:rsidR="00360044" w:rsidRPr="00A36839">
        <w:rPr>
          <w:rFonts w:ascii="Times" w:hAnsi="Times"/>
          <w:sz w:val="24"/>
          <w:szCs w:val="24"/>
        </w:rPr>
        <w:t>The market for its veg</w:t>
      </w:r>
      <w:r w:rsidRPr="00A36839">
        <w:rPr>
          <w:rFonts w:ascii="Times" w:hAnsi="Times"/>
          <w:sz w:val="24"/>
          <w:szCs w:val="24"/>
        </w:rPr>
        <w:t xml:space="preserve">etable, fruit and nuts </w:t>
      </w:r>
      <w:r w:rsidR="00360044" w:rsidRPr="00A36839">
        <w:rPr>
          <w:rFonts w:ascii="Times" w:hAnsi="Times"/>
          <w:sz w:val="24"/>
          <w:szCs w:val="24"/>
        </w:rPr>
        <w:t xml:space="preserve">produce </w:t>
      </w:r>
      <w:r w:rsidRPr="00A36839">
        <w:rPr>
          <w:rFonts w:ascii="Times" w:hAnsi="Times"/>
          <w:sz w:val="24"/>
          <w:szCs w:val="24"/>
        </w:rPr>
        <w:t xml:space="preserve">is primarily within Australia. </w:t>
      </w:r>
      <w:r w:rsidR="005A5480" w:rsidRPr="00A36839">
        <w:rPr>
          <w:rFonts w:ascii="Times" w:hAnsi="Times"/>
          <w:sz w:val="24"/>
          <w:szCs w:val="24"/>
        </w:rPr>
        <w:t>In 2017-18, total production value was $9.1 billion, of which $2.4 billion was exported. Imports in this year were $2.6 billion.</w:t>
      </w:r>
      <w:r w:rsidR="005A5480" w:rsidRPr="00A36839">
        <w:rPr>
          <w:rStyle w:val="EndnoteReference"/>
          <w:rFonts w:ascii="Times" w:hAnsi="Times"/>
          <w:sz w:val="24"/>
          <w:szCs w:val="24"/>
        </w:rPr>
        <w:endnoteReference w:id="1"/>
      </w:r>
    </w:p>
    <w:p w14:paraId="482875FB" w14:textId="7FECF683" w:rsidR="00415FE4" w:rsidRPr="00A36839" w:rsidRDefault="005A5480" w:rsidP="003E254B">
      <w:pPr>
        <w:rPr>
          <w:rFonts w:ascii="Times" w:hAnsi="Times"/>
          <w:sz w:val="24"/>
          <w:szCs w:val="24"/>
        </w:rPr>
      </w:pPr>
      <w:r w:rsidRPr="00A36839">
        <w:rPr>
          <w:rFonts w:ascii="Times" w:hAnsi="Times"/>
          <w:sz w:val="24"/>
          <w:szCs w:val="24"/>
        </w:rPr>
        <w:t>The horticultural industry is estimated to employ some 130,000.</w:t>
      </w:r>
      <w:r w:rsidRPr="00A36839">
        <w:rPr>
          <w:rStyle w:val="EndnoteReference"/>
          <w:rFonts w:ascii="Times" w:hAnsi="Times"/>
          <w:sz w:val="24"/>
          <w:szCs w:val="24"/>
        </w:rPr>
        <w:endnoteReference w:id="2"/>
      </w:r>
      <w:r w:rsidRPr="00A36839">
        <w:rPr>
          <w:rFonts w:ascii="Times" w:hAnsi="Times"/>
          <w:sz w:val="24"/>
          <w:szCs w:val="24"/>
        </w:rPr>
        <w:t xml:space="preserve"> It is reliant on temporary migrant labour, with pay and conditions well below </w:t>
      </w:r>
      <w:r w:rsidR="003744E0" w:rsidRPr="00A36839">
        <w:rPr>
          <w:rFonts w:ascii="Times" w:hAnsi="Times"/>
          <w:sz w:val="24"/>
          <w:szCs w:val="24"/>
        </w:rPr>
        <w:t xml:space="preserve">what resident workers will accept. </w:t>
      </w:r>
      <w:r w:rsidR="003E254B" w:rsidRPr="00A36839">
        <w:rPr>
          <w:rFonts w:ascii="Times" w:hAnsi="Times"/>
          <w:sz w:val="24"/>
          <w:szCs w:val="24"/>
        </w:rPr>
        <w:t>I</w:t>
      </w:r>
      <w:r w:rsidR="00415FE4" w:rsidRPr="00A36839">
        <w:rPr>
          <w:rFonts w:ascii="Times" w:hAnsi="Times"/>
          <w:sz w:val="24"/>
          <w:szCs w:val="24"/>
        </w:rPr>
        <w:t xml:space="preserve"> </w:t>
      </w:r>
      <w:r w:rsidR="003E254B" w:rsidRPr="00A36839">
        <w:rPr>
          <w:rFonts w:ascii="Times" w:hAnsi="Times"/>
          <w:sz w:val="24"/>
          <w:szCs w:val="24"/>
        </w:rPr>
        <w:t>draw heavily on the research of Joanna Howe and her colleagues when subsequently documenting this conclusion.</w:t>
      </w:r>
      <w:r w:rsidR="003E254B" w:rsidRPr="00A36839">
        <w:rPr>
          <w:rStyle w:val="EndnoteReference"/>
          <w:rFonts w:ascii="Times" w:hAnsi="Times"/>
          <w:sz w:val="24"/>
          <w:szCs w:val="24"/>
        </w:rPr>
        <w:endnoteReference w:id="3"/>
      </w:r>
    </w:p>
    <w:p w14:paraId="631FDA07" w14:textId="77777777" w:rsidR="00A36839" w:rsidRPr="00A36839" w:rsidRDefault="00AE4979">
      <w:pPr>
        <w:rPr>
          <w:rFonts w:ascii="Times" w:hAnsi="Times"/>
          <w:sz w:val="24"/>
          <w:szCs w:val="24"/>
        </w:rPr>
      </w:pPr>
      <w:r w:rsidRPr="00A36839">
        <w:rPr>
          <w:rFonts w:ascii="Times" w:hAnsi="Times"/>
          <w:sz w:val="24"/>
          <w:szCs w:val="24"/>
        </w:rPr>
        <w:t xml:space="preserve">An example is the garlic industry. Most of Australian consumption derives from imports, mainly from China. The </w:t>
      </w:r>
      <w:r w:rsidR="003E254B" w:rsidRPr="00A36839">
        <w:rPr>
          <w:rFonts w:ascii="Times" w:hAnsi="Times"/>
          <w:sz w:val="24"/>
          <w:szCs w:val="24"/>
        </w:rPr>
        <w:t xml:space="preserve">reason for the low domestic supply is </w:t>
      </w:r>
      <w:r w:rsidRPr="00A36839">
        <w:rPr>
          <w:rFonts w:ascii="Times" w:hAnsi="Times"/>
          <w:sz w:val="24"/>
          <w:szCs w:val="24"/>
        </w:rPr>
        <w:t>the relatively high cost of labour in Australia, in what is a very labour intensive industry. Nevertheless</w:t>
      </w:r>
      <w:r w:rsidR="003E254B" w:rsidRPr="00A36839">
        <w:rPr>
          <w:rFonts w:ascii="Times" w:hAnsi="Times"/>
          <w:sz w:val="24"/>
          <w:szCs w:val="24"/>
        </w:rPr>
        <w:t>, some</w:t>
      </w:r>
      <w:r w:rsidRPr="00A36839">
        <w:rPr>
          <w:rFonts w:ascii="Times" w:hAnsi="Times"/>
          <w:sz w:val="24"/>
          <w:szCs w:val="24"/>
        </w:rPr>
        <w:t xml:space="preserve"> Australian producers soldier on with their plight graphically illustrated in Patrice Newell’s recent book </w:t>
      </w:r>
      <w:r w:rsidRPr="00A36839">
        <w:rPr>
          <w:rFonts w:ascii="Times" w:hAnsi="Times"/>
          <w:sz w:val="24"/>
          <w:szCs w:val="24"/>
        </w:rPr>
        <w:lastRenderedPageBreak/>
        <w:t>on the subject.</w:t>
      </w:r>
      <w:r w:rsidR="0015169B" w:rsidRPr="00A36839">
        <w:rPr>
          <w:rStyle w:val="EndnoteReference"/>
          <w:rFonts w:ascii="Times" w:hAnsi="Times"/>
          <w:sz w:val="24"/>
          <w:szCs w:val="24"/>
        </w:rPr>
        <w:endnoteReference w:id="4"/>
      </w:r>
      <w:r w:rsidRPr="00A36839">
        <w:rPr>
          <w:rFonts w:ascii="Times" w:hAnsi="Times"/>
          <w:sz w:val="24"/>
          <w:szCs w:val="24"/>
        </w:rPr>
        <w:t xml:space="preserve"> I will have occasion to cite this book later, including Newell’s pitch to the government to provide </w:t>
      </w:r>
      <w:r w:rsidR="00B957DE" w:rsidRPr="00A36839">
        <w:rPr>
          <w:rFonts w:ascii="Times" w:hAnsi="Times"/>
          <w:sz w:val="24"/>
          <w:szCs w:val="24"/>
        </w:rPr>
        <w:t xml:space="preserve">a new, </w:t>
      </w:r>
      <w:r w:rsidRPr="00A36839">
        <w:rPr>
          <w:rFonts w:ascii="Times" w:hAnsi="Times"/>
          <w:sz w:val="24"/>
          <w:szCs w:val="24"/>
        </w:rPr>
        <w:t xml:space="preserve">dedicated </w:t>
      </w:r>
      <w:r w:rsidR="00B957DE" w:rsidRPr="00A36839">
        <w:rPr>
          <w:rFonts w:ascii="Times" w:hAnsi="Times"/>
          <w:sz w:val="24"/>
          <w:szCs w:val="24"/>
        </w:rPr>
        <w:t>temporary migrant agricultural work visa,</w:t>
      </w:r>
      <w:r w:rsidRPr="00A36839">
        <w:rPr>
          <w:rFonts w:ascii="Times" w:hAnsi="Times"/>
          <w:sz w:val="24"/>
          <w:szCs w:val="24"/>
        </w:rPr>
        <w:t xml:space="preserve"> </w:t>
      </w:r>
      <w:r w:rsidR="000A63F1" w:rsidRPr="00A36839">
        <w:rPr>
          <w:rFonts w:ascii="Times" w:hAnsi="Times"/>
          <w:sz w:val="24"/>
          <w:szCs w:val="24"/>
        </w:rPr>
        <w:t xml:space="preserve">which </w:t>
      </w:r>
      <w:r w:rsidR="0015169B" w:rsidRPr="00A36839">
        <w:rPr>
          <w:rFonts w:ascii="Times" w:hAnsi="Times"/>
          <w:sz w:val="24"/>
          <w:szCs w:val="24"/>
        </w:rPr>
        <w:t>she argues is needed if Australian producers are to survive.</w:t>
      </w:r>
      <w:r w:rsidR="007A3579" w:rsidRPr="00A36839">
        <w:rPr>
          <w:rFonts w:ascii="Times" w:hAnsi="Times"/>
          <w:sz w:val="24"/>
          <w:szCs w:val="24"/>
        </w:rPr>
        <w:t xml:space="preserve"> In this regard, Newell echoes the view strongly held by the horticultural industry’s political representatives, including the National Farmers Federation</w:t>
      </w:r>
      <w:r w:rsidR="005A5480" w:rsidRPr="00A36839">
        <w:rPr>
          <w:rFonts w:ascii="Times" w:hAnsi="Times"/>
          <w:sz w:val="24"/>
          <w:szCs w:val="24"/>
        </w:rPr>
        <w:t xml:space="preserve"> (NFF)</w:t>
      </w:r>
      <w:r w:rsidR="007A3579" w:rsidRPr="00A36839">
        <w:rPr>
          <w:rFonts w:ascii="Times" w:hAnsi="Times"/>
          <w:sz w:val="24"/>
          <w:szCs w:val="24"/>
        </w:rPr>
        <w:t>.</w:t>
      </w:r>
    </w:p>
    <w:p w14:paraId="31378193" w14:textId="388BB808" w:rsidR="00A44126" w:rsidRPr="00A36839" w:rsidRDefault="00A44126" w:rsidP="00A36839">
      <w:pPr>
        <w:pStyle w:val="Heading2"/>
      </w:pPr>
      <w:bookmarkStart w:id="4" w:name="_Toc46319541"/>
      <w:bookmarkStart w:id="5" w:name="_Toc46319727"/>
      <w:r w:rsidRPr="00A36839">
        <w:t>The horticultural workforce</w:t>
      </w:r>
      <w:bookmarkEnd w:id="4"/>
      <w:bookmarkEnd w:id="5"/>
    </w:p>
    <w:p w14:paraId="0772868A" w14:textId="4DD7EBB9" w:rsidR="00415FE4" w:rsidRPr="00A36839" w:rsidRDefault="00C412DA" w:rsidP="00A9785A">
      <w:pPr>
        <w:rPr>
          <w:rFonts w:ascii="Times" w:hAnsi="Times"/>
          <w:sz w:val="24"/>
          <w:szCs w:val="24"/>
        </w:rPr>
      </w:pPr>
      <w:r w:rsidRPr="00A36839">
        <w:rPr>
          <w:rFonts w:ascii="Times" w:hAnsi="Times"/>
          <w:sz w:val="24"/>
          <w:szCs w:val="24"/>
        </w:rPr>
        <w:t>Australia has a long tradition of encouraging the labour intensive horticultural industry starting with the promotion of irrigation works in the late 19</w:t>
      </w:r>
      <w:r w:rsidRPr="00A36839">
        <w:rPr>
          <w:rFonts w:ascii="Times" w:hAnsi="Times"/>
          <w:sz w:val="24"/>
          <w:szCs w:val="24"/>
          <w:vertAlign w:val="superscript"/>
        </w:rPr>
        <w:t>th</w:t>
      </w:r>
      <w:r w:rsidRPr="00A36839">
        <w:rPr>
          <w:rFonts w:ascii="Times" w:hAnsi="Times"/>
          <w:sz w:val="24"/>
          <w:szCs w:val="24"/>
        </w:rPr>
        <w:t xml:space="preserve"> Century</w:t>
      </w:r>
      <w:r w:rsidR="000A63F1" w:rsidRPr="00A36839">
        <w:rPr>
          <w:rFonts w:ascii="Times" w:hAnsi="Times"/>
          <w:sz w:val="24"/>
          <w:szCs w:val="24"/>
        </w:rPr>
        <w:t>. These</w:t>
      </w:r>
      <w:r w:rsidRPr="00A36839">
        <w:rPr>
          <w:rFonts w:ascii="Times" w:hAnsi="Times"/>
          <w:sz w:val="24"/>
          <w:szCs w:val="24"/>
        </w:rPr>
        <w:t xml:space="preserve"> facilitate</w:t>
      </w:r>
      <w:r w:rsidR="00B1738B" w:rsidRPr="00A36839">
        <w:rPr>
          <w:rFonts w:ascii="Times" w:hAnsi="Times"/>
          <w:sz w:val="24"/>
          <w:szCs w:val="24"/>
        </w:rPr>
        <w:t>d</w:t>
      </w:r>
      <w:r w:rsidRPr="00A36839">
        <w:rPr>
          <w:rFonts w:ascii="Times" w:hAnsi="Times"/>
          <w:sz w:val="24"/>
          <w:szCs w:val="24"/>
        </w:rPr>
        <w:t xml:space="preserve"> the dried fruits industry in Mildura and other Murray River locations. </w:t>
      </w:r>
      <w:r w:rsidR="005D3D01" w:rsidRPr="00A36839">
        <w:rPr>
          <w:rFonts w:ascii="Times" w:hAnsi="Times"/>
          <w:sz w:val="24"/>
          <w:szCs w:val="24"/>
        </w:rPr>
        <w:t xml:space="preserve">The workforce needed came from rural towns, from young people attracted to temporary work (like myself decades ago) and from an itinerant domestic workforce self-organised to move with the peak agricultural seasonal work. As Newell puts it: </w:t>
      </w:r>
      <w:r w:rsidR="0041413D" w:rsidRPr="00A36839">
        <w:rPr>
          <w:rFonts w:ascii="Times" w:hAnsi="Times"/>
          <w:sz w:val="24"/>
          <w:szCs w:val="24"/>
        </w:rPr>
        <w:t>‘</w:t>
      </w:r>
      <w:r w:rsidR="005D3D01" w:rsidRPr="00A36839">
        <w:rPr>
          <w:rFonts w:ascii="Times" w:hAnsi="Times"/>
          <w:sz w:val="24"/>
          <w:szCs w:val="24"/>
        </w:rPr>
        <w:t>On</w:t>
      </w:r>
      <w:r w:rsidR="0041413D" w:rsidRPr="00A36839">
        <w:rPr>
          <w:rFonts w:ascii="Times" w:hAnsi="Times"/>
          <w:sz w:val="24"/>
          <w:szCs w:val="24"/>
        </w:rPr>
        <w:t>ce</w:t>
      </w:r>
      <w:r w:rsidR="005D3D01" w:rsidRPr="00A36839">
        <w:rPr>
          <w:rFonts w:ascii="Times" w:hAnsi="Times"/>
          <w:sz w:val="24"/>
          <w:szCs w:val="24"/>
        </w:rPr>
        <w:t>, there were a lot of people with a wide range of</w:t>
      </w:r>
      <w:r w:rsidR="00A9785A" w:rsidRPr="00A36839">
        <w:rPr>
          <w:rFonts w:ascii="Times" w:hAnsi="Times"/>
          <w:sz w:val="24"/>
          <w:szCs w:val="24"/>
        </w:rPr>
        <w:t xml:space="preserve"> </w:t>
      </w:r>
      <w:r w:rsidR="005D3D01" w:rsidRPr="00A36839">
        <w:rPr>
          <w:rFonts w:ascii="Times" w:hAnsi="Times"/>
          <w:sz w:val="24"/>
          <w:szCs w:val="24"/>
        </w:rPr>
        <w:t>skills working on farms, able to pull apart the most complex machine, repair it and put it back together, trap w</w:t>
      </w:r>
      <w:r w:rsidR="00A9785A" w:rsidRPr="00A36839">
        <w:rPr>
          <w:rFonts w:ascii="Times" w:hAnsi="Times"/>
          <w:sz w:val="24"/>
          <w:szCs w:val="24"/>
        </w:rPr>
        <w:t xml:space="preserve">ild </w:t>
      </w:r>
      <w:r w:rsidR="005D3D01" w:rsidRPr="00A36839">
        <w:rPr>
          <w:rFonts w:ascii="Times" w:hAnsi="Times"/>
          <w:sz w:val="24"/>
          <w:szCs w:val="24"/>
        </w:rPr>
        <w:t>pi</w:t>
      </w:r>
      <w:r w:rsidR="00A9785A" w:rsidRPr="00A36839">
        <w:rPr>
          <w:rFonts w:ascii="Times" w:hAnsi="Times"/>
          <w:sz w:val="24"/>
          <w:szCs w:val="24"/>
        </w:rPr>
        <w:t>gs</w:t>
      </w:r>
      <w:r w:rsidR="005D3D01" w:rsidRPr="00A36839">
        <w:rPr>
          <w:rFonts w:ascii="Times" w:hAnsi="Times"/>
          <w:sz w:val="24"/>
          <w:szCs w:val="24"/>
        </w:rPr>
        <w:t xml:space="preserve"> </w:t>
      </w:r>
      <w:r w:rsidR="00A9785A" w:rsidRPr="00A36839">
        <w:rPr>
          <w:rFonts w:ascii="Times" w:hAnsi="Times"/>
          <w:sz w:val="24"/>
          <w:szCs w:val="24"/>
        </w:rPr>
        <w:t xml:space="preserve">do </w:t>
      </w:r>
      <w:r w:rsidR="005D3D01" w:rsidRPr="00A36839">
        <w:rPr>
          <w:rFonts w:ascii="Times" w:hAnsi="Times"/>
          <w:sz w:val="24"/>
          <w:szCs w:val="24"/>
        </w:rPr>
        <w:t>a spot of w</w:t>
      </w:r>
      <w:r w:rsidR="00A9785A" w:rsidRPr="00A36839">
        <w:rPr>
          <w:rFonts w:ascii="Times" w:hAnsi="Times"/>
          <w:sz w:val="24"/>
          <w:szCs w:val="24"/>
        </w:rPr>
        <w:t>e</w:t>
      </w:r>
      <w:r w:rsidR="005D3D01" w:rsidRPr="00A36839">
        <w:rPr>
          <w:rFonts w:ascii="Times" w:hAnsi="Times"/>
          <w:sz w:val="24"/>
          <w:szCs w:val="24"/>
        </w:rPr>
        <w:t>ldin</w:t>
      </w:r>
      <w:r w:rsidR="00B1738B" w:rsidRPr="00A36839">
        <w:rPr>
          <w:rFonts w:ascii="Times" w:hAnsi="Times"/>
          <w:sz w:val="24"/>
          <w:szCs w:val="24"/>
        </w:rPr>
        <w:t>g,</w:t>
      </w:r>
      <w:r w:rsidR="00A9785A" w:rsidRPr="00A36839">
        <w:rPr>
          <w:rFonts w:ascii="Times" w:hAnsi="Times"/>
          <w:sz w:val="24"/>
          <w:szCs w:val="24"/>
        </w:rPr>
        <w:t xml:space="preserve"> fix a broken pump. Now kids are leaving in droves and family farms are being replaced by corporate farming’.</w:t>
      </w:r>
      <w:r w:rsidR="0041413D" w:rsidRPr="00A36839">
        <w:rPr>
          <w:rStyle w:val="EndnoteReference"/>
          <w:rFonts w:ascii="Times" w:hAnsi="Times"/>
          <w:sz w:val="24"/>
          <w:szCs w:val="24"/>
        </w:rPr>
        <w:endnoteReference w:id="5"/>
      </w:r>
    </w:p>
    <w:p w14:paraId="01EC037A" w14:textId="77777777" w:rsidR="00A36839" w:rsidRPr="00A36839" w:rsidRDefault="00A9785A" w:rsidP="00A9785A">
      <w:pPr>
        <w:rPr>
          <w:rFonts w:ascii="Times" w:hAnsi="Times"/>
          <w:sz w:val="24"/>
          <w:szCs w:val="24"/>
        </w:rPr>
      </w:pPr>
      <w:r w:rsidRPr="00A36839">
        <w:rPr>
          <w:rFonts w:ascii="Times" w:hAnsi="Times"/>
          <w:sz w:val="24"/>
          <w:szCs w:val="24"/>
        </w:rPr>
        <w:t xml:space="preserve">Resident workers still make up a small share of </w:t>
      </w:r>
      <w:r w:rsidR="007A3579" w:rsidRPr="00A36839">
        <w:rPr>
          <w:rFonts w:ascii="Times" w:hAnsi="Times"/>
          <w:sz w:val="24"/>
          <w:szCs w:val="24"/>
        </w:rPr>
        <w:t>the horticultural</w:t>
      </w:r>
      <w:r w:rsidRPr="00A36839">
        <w:rPr>
          <w:rFonts w:ascii="Times" w:hAnsi="Times"/>
          <w:sz w:val="24"/>
          <w:szCs w:val="24"/>
        </w:rPr>
        <w:t xml:space="preserve"> workforce. However this share is diminishing – replaced by migrants holding temporary visas. The best known is the Working Holiday Maker </w:t>
      </w:r>
      <w:r w:rsidR="003013E7" w:rsidRPr="00A36839">
        <w:rPr>
          <w:rFonts w:ascii="Times" w:hAnsi="Times"/>
          <w:sz w:val="24"/>
          <w:szCs w:val="24"/>
        </w:rPr>
        <w:t xml:space="preserve">(WHM) </w:t>
      </w:r>
      <w:r w:rsidRPr="00A36839">
        <w:rPr>
          <w:rFonts w:ascii="Times" w:hAnsi="Times"/>
          <w:sz w:val="24"/>
          <w:szCs w:val="24"/>
        </w:rPr>
        <w:t xml:space="preserve">group – sometimes thought to be synonymous with the </w:t>
      </w:r>
      <w:r w:rsidR="000A63F1" w:rsidRPr="00A36839">
        <w:rPr>
          <w:rFonts w:ascii="Times" w:hAnsi="Times"/>
          <w:sz w:val="24"/>
          <w:szCs w:val="24"/>
        </w:rPr>
        <w:t xml:space="preserve">horticultural </w:t>
      </w:r>
      <w:r w:rsidRPr="00A36839">
        <w:rPr>
          <w:rFonts w:ascii="Times" w:hAnsi="Times"/>
          <w:sz w:val="24"/>
          <w:szCs w:val="24"/>
        </w:rPr>
        <w:t>migrant workforce. It remains important, but its share of th</w:t>
      </w:r>
      <w:r w:rsidR="0041413D" w:rsidRPr="00A36839">
        <w:rPr>
          <w:rFonts w:ascii="Times" w:hAnsi="Times"/>
          <w:sz w:val="24"/>
          <w:szCs w:val="24"/>
        </w:rPr>
        <w:t>e industry’s temporary migrant workforce is diminishing.</w:t>
      </w:r>
    </w:p>
    <w:p w14:paraId="1210EA14" w14:textId="57FC378D" w:rsidR="00415FE4" w:rsidRPr="00A36839" w:rsidRDefault="005C2CF2" w:rsidP="00A9785A">
      <w:pPr>
        <w:rPr>
          <w:rFonts w:ascii="Times" w:hAnsi="Times"/>
          <w:sz w:val="24"/>
          <w:szCs w:val="24"/>
        </w:rPr>
      </w:pPr>
      <w:r w:rsidRPr="00A36839">
        <w:rPr>
          <w:rFonts w:ascii="Times" w:hAnsi="Times"/>
          <w:sz w:val="24"/>
          <w:szCs w:val="24"/>
        </w:rPr>
        <w:t xml:space="preserve">This is despite multiple revisions </w:t>
      </w:r>
      <w:r w:rsidR="007A3579" w:rsidRPr="00A36839">
        <w:rPr>
          <w:rFonts w:ascii="Times" w:hAnsi="Times"/>
          <w:sz w:val="24"/>
          <w:szCs w:val="24"/>
        </w:rPr>
        <w:t xml:space="preserve">in the rules governing the availability of WHM visas </w:t>
      </w:r>
      <w:r w:rsidRPr="00A36839">
        <w:rPr>
          <w:rFonts w:ascii="Times" w:hAnsi="Times"/>
          <w:sz w:val="24"/>
          <w:szCs w:val="24"/>
        </w:rPr>
        <w:t xml:space="preserve">designed to motivate WHMs to take up agricultural work. </w:t>
      </w:r>
      <w:r w:rsidR="0041413D" w:rsidRPr="00A36839">
        <w:rPr>
          <w:rFonts w:ascii="Times" w:hAnsi="Times"/>
          <w:sz w:val="24"/>
          <w:szCs w:val="24"/>
        </w:rPr>
        <w:t xml:space="preserve">I detail the evolution of the WHM program first, then turn to </w:t>
      </w:r>
      <w:r w:rsidR="004C0F10" w:rsidRPr="00A36839">
        <w:rPr>
          <w:rFonts w:ascii="Times" w:hAnsi="Times"/>
          <w:sz w:val="24"/>
          <w:szCs w:val="24"/>
        </w:rPr>
        <w:t xml:space="preserve">the more recent surge in the supply of temporary migrant workers, that is, </w:t>
      </w:r>
      <w:r w:rsidR="000A63F1" w:rsidRPr="00A36839">
        <w:rPr>
          <w:rFonts w:ascii="Times" w:hAnsi="Times"/>
          <w:sz w:val="24"/>
          <w:szCs w:val="24"/>
        </w:rPr>
        <w:t xml:space="preserve">to </w:t>
      </w:r>
      <w:r w:rsidR="004C0F10" w:rsidRPr="00A36839">
        <w:rPr>
          <w:rFonts w:ascii="Times" w:hAnsi="Times"/>
          <w:sz w:val="24"/>
          <w:szCs w:val="24"/>
        </w:rPr>
        <w:t>those in Australia on other temporary visas, including oversea students and visitors.</w:t>
      </w:r>
    </w:p>
    <w:p w14:paraId="3A74159C" w14:textId="1F6E0F51" w:rsidR="00415FE4" w:rsidRPr="00A36839" w:rsidRDefault="0041413D" w:rsidP="00A36839">
      <w:pPr>
        <w:pStyle w:val="Heading3"/>
      </w:pPr>
      <w:bookmarkStart w:id="6" w:name="_Toc46319542"/>
      <w:bookmarkStart w:id="7" w:name="_Toc46319728"/>
      <w:r w:rsidRPr="00A36839">
        <w:t>The Working Holiday Migrant visa</w:t>
      </w:r>
      <w:bookmarkEnd w:id="6"/>
      <w:bookmarkEnd w:id="7"/>
    </w:p>
    <w:p w14:paraId="23C5B069" w14:textId="04A04AAC" w:rsidR="00415FE4" w:rsidRPr="00A36839" w:rsidRDefault="00C02C90">
      <w:pPr>
        <w:rPr>
          <w:rFonts w:ascii="Times" w:hAnsi="Times"/>
          <w:sz w:val="24"/>
          <w:szCs w:val="24"/>
        </w:rPr>
      </w:pPr>
      <w:r w:rsidRPr="00A36839">
        <w:rPr>
          <w:rFonts w:ascii="Times" w:hAnsi="Times"/>
          <w:sz w:val="24"/>
          <w:szCs w:val="24"/>
        </w:rPr>
        <w:t xml:space="preserve">The WHM visa </w:t>
      </w:r>
      <w:r w:rsidR="007C24C8" w:rsidRPr="00A36839">
        <w:rPr>
          <w:rFonts w:ascii="Times" w:hAnsi="Times"/>
          <w:sz w:val="24"/>
          <w:szCs w:val="24"/>
        </w:rPr>
        <w:t xml:space="preserve">(visa number 417) </w:t>
      </w:r>
      <w:r w:rsidRPr="00A36839">
        <w:rPr>
          <w:rFonts w:ascii="Times" w:hAnsi="Times"/>
          <w:sz w:val="24"/>
          <w:szCs w:val="24"/>
        </w:rPr>
        <w:t>originated in 1975</w:t>
      </w:r>
      <w:r w:rsidR="007C24C8" w:rsidRPr="00A36839">
        <w:rPr>
          <w:rFonts w:ascii="Times" w:hAnsi="Times"/>
          <w:sz w:val="24"/>
          <w:szCs w:val="24"/>
        </w:rPr>
        <w:t xml:space="preserve">, beginning with </w:t>
      </w:r>
      <w:r w:rsidR="000A63F1" w:rsidRPr="00A36839">
        <w:rPr>
          <w:rFonts w:ascii="Times" w:hAnsi="Times"/>
          <w:sz w:val="24"/>
          <w:szCs w:val="24"/>
        </w:rPr>
        <w:t xml:space="preserve">temporary migrants from </w:t>
      </w:r>
      <w:r w:rsidR="007C24C8" w:rsidRPr="00A36839">
        <w:rPr>
          <w:rFonts w:ascii="Times" w:hAnsi="Times"/>
          <w:sz w:val="24"/>
          <w:szCs w:val="24"/>
        </w:rPr>
        <w:t xml:space="preserve">the UK. It was uncapped. </w:t>
      </w:r>
      <w:r w:rsidRPr="00A36839">
        <w:rPr>
          <w:rFonts w:ascii="Times" w:hAnsi="Times"/>
          <w:sz w:val="24"/>
          <w:szCs w:val="24"/>
        </w:rPr>
        <w:t xml:space="preserve">The visa’s focus was to provide a cultural experience for young people, allowing them to stay for a year in Australia during which </w:t>
      </w:r>
      <w:r w:rsidR="00C94ED5" w:rsidRPr="00A36839">
        <w:rPr>
          <w:rFonts w:ascii="Times" w:hAnsi="Times"/>
          <w:sz w:val="24"/>
          <w:szCs w:val="24"/>
        </w:rPr>
        <w:t xml:space="preserve">time </w:t>
      </w:r>
      <w:r w:rsidRPr="00A36839">
        <w:rPr>
          <w:rFonts w:ascii="Times" w:hAnsi="Times"/>
          <w:sz w:val="24"/>
          <w:szCs w:val="24"/>
        </w:rPr>
        <w:t>their expenses could be defrayed by permitting up to six months employment. The visa was granted on a reciprocal basis (available to Australians visiting the UK). It has since been extended to most other European nations a</w:t>
      </w:r>
      <w:r w:rsidR="007C24C8" w:rsidRPr="00A36839">
        <w:rPr>
          <w:rFonts w:ascii="Times" w:hAnsi="Times"/>
          <w:sz w:val="24"/>
          <w:szCs w:val="24"/>
        </w:rPr>
        <w:t xml:space="preserve">s well as </w:t>
      </w:r>
      <w:r w:rsidRPr="00A36839">
        <w:rPr>
          <w:rFonts w:ascii="Times" w:hAnsi="Times"/>
          <w:sz w:val="24"/>
          <w:szCs w:val="24"/>
        </w:rPr>
        <w:t xml:space="preserve">some high wage Asian countries (including Japan, </w:t>
      </w:r>
      <w:r w:rsidR="007A3579" w:rsidRPr="00A36839">
        <w:rPr>
          <w:rFonts w:ascii="Times" w:hAnsi="Times"/>
          <w:sz w:val="24"/>
          <w:szCs w:val="24"/>
        </w:rPr>
        <w:t xml:space="preserve">Hong Kong, </w:t>
      </w:r>
      <w:r w:rsidRPr="00A36839">
        <w:rPr>
          <w:rFonts w:ascii="Times" w:hAnsi="Times"/>
          <w:sz w:val="24"/>
          <w:szCs w:val="24"/>
        </w:rPr>
        <w:t>South Korea and Taiwan).</w:t>
      </w:r>
    </w:p>
    <w:p w14:paraId="0ED69C30" w14:textId="1B500EE0" w:rsidR="00415FE4" w:rsidRPr="00A36839" w:rsidRDefault="000C4E6C">
      <w:pPr>
        <w:rPr>
          <w:rFonts w:ascii="Times" w:hAnsi="Times"/>
          <w:sz w:val="24"/>
          <w:szCs w:val="24"/>
        </w:rPr>
      </w:pPr>
      <w:r w:rsidRPr="00A36839">
        <w:rPr>
          <w:rFonts w:ascii="Times" w:hAnsi="Times"/>
          <w:sz w:val="24"/>
          <w:szCs w:val="24"/>
        </w:rPr>
        <w:t>WHMs have become an important component of the horticultural workforce</w:t>
      </w:r>
      <w:r w:rsidR="005E2F65" w:rsidRPr="00A36839">
        <w:rPr>
          <w:rFonts w:ascii="Times" w:hAnsi="Times"/>
          <w:sz w:val="24"/>
          <w:szCs w:val="24"/>
        </w:rPr>
        <w:t>,</w:t>
      </w:r>
      <w:r w:rsidRPr="00A36839">
        <w:rPr>
          <w:rFonts w:ascii="Times" w:hAnsi="Times"/>
          <w:sz w:val="24"/>
          <w:szCs w:val="24"/>
        </w:rPr>
        <w:t xml:space="preserve"> especially in locations along the east coast where recipients can combine their stay in salubrious locations with seasonal work nearby.</w:t>
      </w:r>
    </w:p>
    <w:p w14:paraId="1D7173AC" w14:textId="77777777" w:rsidR="00A36839" w:rsidRPr="00A36839" w:rsidRDefault="000C4E6C">
      <w:pPr>
        <w:rPr>
          <w:rFonts w:ascii="Times" w:hAnsi="Times"/>
          <w:sz w:val="24"/>
          <w:szCs w:val="24"/>
        </w:rPr>
      </w:pPr>
      <w:r w:rsidRPr="00A36839">
        <w:rPr>
          <w:rFonts w:ascii="Times" w:hAnsi="Times"/>
          <w:sz w:val="24"/>
          <w:szCs w:val="24"/>
        </w:rPr>
        <w:t xml:space="preserve">However, the </w:t>
      </w:r>
      <w:r w:rsidR="007C24C8" w:rsidRPr="00A36839">
        <w:rPr>
          <w:rFonts w:ascii="Times" w:hAnsi="Times"/>
          <w:sz w:val="24"/>
          <w:szCs w:val="24"/>
        </w:rPr>
        <w:t>high wage origin of most 417 visa holders remains</w:t>
      </w:r>
      <w:r w:rsidRPr="00A36839">
        <w:rPr>
          <w:rFonts w:ascii="Times" w:hAnsi="Times"/>
          <w:sz w:val="24"/>
          <w:szCs w:val="24"/>
        </w:rPr>
        <w:t xml:space="preserve"> an obstacle to the</w:t>
      </w:r>
      <w:r w:rsidR="00B1738B" w:rsidRPr="00A36839">
        <w:rPr>
          <w:rFonts w:ascii="Times" w:hAnsi="Times"/>
          <w:sz w:val="24"/>
          <w:szCs w:val="24"/>
        </w:rPr>
        <w:t xml:space="preserve"> government and horticultural industry’s objective of </w:t>
      </w:r>
      <w:r w:rsidR="003013E7" w:rsidRPr="00A36839">
        <w:rPr>
          <w:rFonts w:ascii="Times" w:hAnsi="Times"/>
          <w:sz w:val="24"/>
          <w:szCs w:val="24"/>
        </w:rPr>
        <w:t>engaging them in a</w:t>
      </w:r>
      <w:r w:rsidR="00B1738B" w:rsidRPr="00A36839">
        <w:rPr>
          <w:rFonts w:ascii="Times" w:hAnsi="Times"/>
          <w:sz w:val="24"/>
          <w:szCs w:val="24"/>
        </w:rPr>
        <w:t xml:space="preserve">gricultural </w:t>
      </w:r>
      <w:r w:rsidRPr="00A36839">
        <w:rPr>
          <w:rFonts w:ascii="Times" w:hAnsi="Times"/>
          <w:sz w:val="24"/>
          <w:szCs w:val="24"/>
        </w:rPr>
        <w:t xml:space="preserve">employment </w:t>
      </w:r>
      <w:r w:rsidR="005E2F65" w:rsidRPr="00A36839">
        <w:rPr>
          <w:rFonts w:ascii="Times" w:hAnsi="Times"/>
          <w:sz w:val="24"/>
          <w:szCs w:val="24"/>
        </w:rPr>
        <w:t>outside these locations</w:t>
      </w:r>
      <w:r w:rsidR="007C24C8" w:rsidRPr="00A36839">
        <w:rPr>
          <w:rFonts w:ascii="Times" w:hAnsi="Times"/>
          <w:sz w:val="24"/>
          <w:szCs w:val="24"/>
        </w:rPr>
        <w:t xml:space="preserve">. Most prefer </w:t>
      </w:r>
      <w:r w:rsidR="00AE17AC" w:rsidRPr="00A36839">
        <w:rPr>
          <w:rFonts w:ascii="Times" w:hAnsi="Times"/>
          <w:sz w:val="24"/>
          <w:szCs w:val="24"/>
        </w:rPr>
        <w:t>to work in metropolitan settings where, until recently</w:t>
      </w:r>
      <w:r w:rsidR="00B1738B" w:rsidRPr="00A36839">
        <w:rPr>
          <w:rFonts w:ascii="Times" w:hAnsi="Times"/>
          <w:sz w:val="24"/>
          <w:szCs w:val="24"/>
        </w:rPr>
        <w:t xml:space="preserve">, </w:t>
      </w:r>
      <w:r w:rsidR="00AE17AC" w:rsidRPr="00A36839">
        <w:rPr>
          <w:rFonts w:ascii="Times" w:hAnsi="Times"/>
          <w:sz w:val="24"/>
          <w:szCs w:val="24"/>
        </w:rPr>
        <w:t xml:space="preserve">they could readily find work in </w:t>
      </w:r>
      <w:r w:rsidR="007C24C8" w:rsidRPr="00A36839">
        <w:rPr>
          <w:rFonts w:ascii="Times" w:hAnsi="Times"/>
          <w:sz w:val="24"/>
          <w:szCs w:val="24"/>
        </w:rPr>
        <w:t>hospitality, retail, call centres and some professions, including nursing.</w:t>
      </w:r>
    </w:p>
    <w:p w14:paraId="5B106F8E" w14:textId="77777777" w:rsidR="00A36839" w:rsidRPr="00A36839" w:rsidRDefault="00AE17AC" w:rsidP="002A0B2C">
      <w:pPr>
        <w:rPr>
          <w:rFonts w:ascii="Times" w:hAnsi="Times"/>
          <w:sz w:val="24"/>
          <w:szCs w:val="24"/>
        </w:rPr>
      </w:pPr>
      <w:r w:rsidRPr="00A36839">
        <w:rPr>
          <w:rFonts w:ascii="Times" w:hAnsi="Times"/>
          <w:sz w:val="24"/>
          <w:szCs w:val="24"/>
        </w:rPr>
        <w:lastRenderedPageBreak/>
        <w:t xml:space="preserve">In response to lobbying from agricultural interests the </w:t>
      </w:r>
      <w:r w:rsidR="00A203CA" w:rsidRPr="00A36839">
        <w:rPr>
          <w:rFonts w:ascii="Times" w:hAnsi="Times"/>
          <w:sz w:val="24"/>
          <w:szCs w:val="24"/>
        </w:rPr>
        <w:t xml:space="preserve">Australian government </w:t>
      </w:r>
      <w:r w:rsidR="005134C8" w:rsidRPr="00A36839">
        <w:rPr>
          <w:rFonts w:ascii="Times" w:hAnsi="Times"/>
          <w:sz w:val="24"/>
          <w:szCs w:val="24"/>
        </w:rPr>
        <w:t xml:space="preserve">has </w:t>
      </w:r>
      <w:r w:rsidR="005E2F65" w:rsidRPr="00A36839">
        <w:rPr>
          <w:rFonts w:ascii="Times" w:hAnsi="Times"/>
          <w:sz w:val="24"/>
          <w:szCs w:val="24"/>
        </w:rPr>
        <w:t xml:space="preserve">responded </w:t>
      </w:r>
      <w:r w:rsidRPr="00A36839">
        <w:rPr>
          <w:rFonts w:ascii="Times" w:hAnsi="Times"/>
          <w:sz w:val="24"/>
          <w:szCs w:val="24"/>
        </w:rPr>
        <w:t xml:space="preserve">by revising the rules on the issuance of WHM visas so as to </w:t>
      </w:r>
      <w:r w:rsidR="005E2F65" w:rsidRPr="00A36839">
        <w:rPr>
          <w:rFonts w:ascii="Times" w:hAnsi="Times"/>
          <w:sz w:val="24"/>
          <w:szCs w:val="24"/>
        </w:rPr>
        <w:t>deliver more temporary worker</w:t>
      </w:r>
      <w:r w:rsidRPr="00A36839">
        <w:rPr>
          <w:rFonts w:ascii="Times" w:hAnsi="Times"/>
          <w:sz w:val="24"/>
          <w:szCs w:val="24"/>
        </w:rPr>
        <w:t>s</w:t>
      </w:r>
      <w:r w:rsidR="005E2F65" w:rsidRPr="00A36839">
        <w:rPr>
          <w:rFonts w:ascii="Times" w:hAnsi="Times"/>
          <w:sz w:val="24"/>
          <w:szCs w:val="24"/>
        </w:rPr>
        <w:t xml:space="preserve"> to the industry</w:t>
      </w:r>
      <w:r w:rsidR="00A203CA" w:rsidRPr="00A36839">
        <w:rPr>
          <w:rFonts w:ascii="Times" w:hAnsi="Times"/>
          <w:sz w:val="24"/>
          <w:szCs w:val="24"/>
        </w:rPr>
        <w:t>.</w:t>
      </w:r>
    </w:p>
    <w:p w14:paraId="7CAA6F97" w14:textId="77777777" w:rsidR="00A36839" w:rsidRPr="00A36839" w:rsidRDefault="00A203CA" w:rsidP="002A0B2C">
      <w:pPr>
        <w:rPr>
          <w:rFonts w:ascii="Times" w:hAnsi="Times"/>
          <w:sz w:val="24"/>
          <w:szCs w:val="24"/>
        </w:rPr>
      </w:pPr>
      <w:r w:rsidRPr="00A36839">
        <w:rPr>
          <w:rFonts w:ascii="Times" w:hAnsi="Times"/>
          <w:sz w:val="24"/>
          <w:szCs w:val="24"/>
        </w:rPr>
        <w:t xml:space="preserve">Starting </w:t>
      </w:r>
      <w:r w:rsidR="0014407D" w:rsidRPr="00A36839">
        <w:rPr>
          <w:rFonts w:ascii="Times" w:hAnsi="Times"/>
          <w:sz w:val="24"/>
          <w:szCs w:val="24"/>
        </w:rPr>
        <w:t>in 2005</w:t>
      </w:r>
      <w:r w:rsidR="00B66DD5" w:rsidRPr="00A36839">
        <w:rPr>
          <w:rFonts w:ascii="Times" w:hAnsi="Times"/>
          <w:sz w:val="24"/>
          <w:szCs w:val="24"/>
        </w:rPr>
        <w:t>,</w:t>
      </w:r>
      <w:r w:rsidR="0014407D" w:rsidRPr="00A36839">
        <w:rPr>
          <w:rFonts w:ascii="Times" w:hAnsi="Times"/>
          <w:sz w:val="24"/>
          <w:szCs w:val="24"/>
        </w:rPr>
        <w:t xml:space="preserve"> </w:t>
      </w:r>
      <w:r w:rsidR="005E2F65" w:rsidRPr="00A36839">
        <w:rPr>
          <w:rFonts w:ascii="Times" w:hAnsi="Times"/>
          <w:sz w:val="24"/>
          <w:szCs w:val="24"/>
        </w:rPr>
        <w:t xml:space="preserve">the Coalition </w:t>
      </w:r>
      <w:r w:rsidRPr="00A36839">
        <w:rPr>
          <w:rFonts w:ascii="Times" w:hAnsi="Times"/>
          <w:sz w:val="24"/>
          <w:szCs w:val="24"/>
        </w:rPr>
        <w:t>government</w:t>
      </w:r>
      <w:r w:rsidR="0014407D" w:rsidRPr="00A36839">
        <w:rPr>
          <w:rFonts w:ascii="Times" w:hAnsi="Times"/>
          <w:sz w:val="24"/>
          <w:szCs w:val="24"/>
        </w:rPr>
        <w:t xml:space="preserve"> </w:t>
      </w:r>
      <w:r w:rsidRPr="00A36839">
        <w:rPr>
          <w:rFonts w:ascii="Times" w:hAnsi="Times"/>
          <w:sz w:val="24"/>
          <w:szCs w:val="24"/>
        </w:rPr>
        <w:t xml:space="preserve">added </w:t>
      </w:r>
      <w:r w:rsidR="00B1738B" w:rsidRPr="00A36839">
        <w:rPr>
          <w:rFonts w:ascii="Times" w:hAnsi="Times"/>
          <w:sz w:val="24"/>
          <w:szCs w:val="24"/>
        </w:rPr>
        <w:t xml:space="preserve">the </w:t>
      </w:r>
      <w:r w:rsidR="0014407D" w:rsidRPr="00A36839">
        <w:rPr>
          <w:rFonts w:ascii="Times" w:hAnsi="Times"/>
          <w:sz w:val="24"/>
          <w:szCs w:val="24"/>
        </w:rPr>
        <w:t xml:space="preserve">option of a second year </w:t>
      </w:r>
      <w:r w:rsidR="005E2F65" w:rsidRPr="00A36839">
        <w:rPr>
          <w:rFonts w:ascii="Times" w:hAnsi="Times"/>
          <w:sz w:val="24"/>
          <w:szCs w:val="24"/>
        </w:rPr>
        <w:t>to the WHM visa</w:t>
      </w:r>
      <w:r w:rsidR="00AE17AC" w:rsidRPr="00A36839">
        <w:rPr>
          <w:rFonts w:ascii="Times" w:hAnsi="Times"/>
          <w:sz w:val="24"/>
          <w:szCs w:val="24"/>
        </w:rPr>
        <w:t>,</w:t>
      </w:r>
      <w:r w:rsidR="00415FE4" w:rsidRPr="00A36839">
        <w:rPr>
          <w:rFonts w:ascii="Times" w:hAnsi="Times"/>
          <w:sz w:val="24"/>
          <w:szCs w:val="24"/>
        </w:rPr>
        <w:t xml:space="preserve"> </w:t>
      </w:r>
      <w:r w:rsidR="0014407D" w:rsidRPr="00A36839">
        <w:rPr>
          <w:rFonts w:ascii="Times" w:hAnsi="Times"/>
          <w:sz w:val="24"/>
          <w:szCs w:val="24"/>
        </w:rPr>
        <w:t xml:space="preserve">provided </w:t>
      </w:r>
      <w:r w:rsidRPr="00A36839">
        <w:rPr>
          <w:rFonts w:ascii="Times" w:hAnsi="Times"/>
          <w:sz w:val="24"/>
          <w:szCs w:val="24"/>
        </w:rPr>
        <w:t xml:space="preserve">recipients </w:t>
      </w:r>
      <w:r w:rsidR="0014407D" w:rsidRPr="00A36839">
        <w:rPr>
          <w:rFonts w:ascii="Times" w:hAnsi="Times"/>
          <w:sz w:val="24"/>
          <w:szCs w:val="24"/>
        </w:rPr>
        <w:t xml:space="preserve">worked for at least 88 days </w:t>
      </w:r>
      <w:r w:rsidR="002A0B2C" w:rsidRPr="00A36839">
        <w:rPr>
          <w:rFonts w:ascii="Times" w:hAnsi="Times"/>
          <w:sz w:val="24"/>
          <w:szCs w:val="24"/>
        </w:rPr>
        <w:t xml:space="preserve">in seasonal work in agriculture. </w:t>
      </w:r>
      <w:r w:rsidR="005E2F65" w:rsidRPr="00A36839">
        <w:rPr>
          <w:rFonts w:ascii="Times" w:hAnsi="Times"/>
          <w:sz w:val="24"/>
          <w:szCs w:val="24"/>
        </w:rPr>
        <w:t xml:space="preserve">In return they were permitted to stay in Australia for a second year during which they </w:t>
      </w:r>
      <w:r w:rsidR="000C4E6C" w:rsidRPr="00A36839">
        <w:rPr>
          <w:rFonts w:ascii="Times" w:hAnsi="Times"/>
          <w:sz w:val="24"/>
          <w:szCs w:val="24"/>
        </w:rPr>
        <w:t>could work anywhere across Australia</w:t>
      </w:r>
      <w:r w:rsidR="00B1738B" w:rsidRPr="00A36839">
        <w:rPr>
          <w:rFonts w:ascii="Times" w:hAnsi="Times"/>
          <w:sz w:val="24"/>
          <w:szCs w:val="24"/>
        </w:rPr>
        <w:t>,</w:t>
      </w:r>
      <w:r w:rsidR="000C4E6C" w:rsidRPr="00A36839">
        <w:rPr>
          <w:rFonts w:ascii="Times" w:hAnsi="Times"/>
          <w:sz w:val="24"/>
          <w:szCs w:val="24"/>
        </w:rPr>
        <w:t xml:space="preserve"> in whatever occupation they </w:t>
      </w:r>
      <w:r w:rsidR="004C0F10" w:rsidRPr="00A36839">
        <w:rPr>
          <w:rFonts w:ascii="Times" w:hAnsi="Times"/>
          <w:sz w:val="24"/>
          <w:szCs w:val="24"/>
        </w:rPr>
        <w:t>could</w:t>
      </w:r>
      <w:r w:rsidR="000C4E6C" w:rsidRPr="00A36839">
        <w:rPr>
          <w:rFonts w:ascii="Times" w:hAnsi="Times"/>
          <w:sz w:val="24"/>
          <w:szCs w:val="24"/>
        </w:rPr>
        <w:t xml:space="preserve"> find.</w:t>
      </w:r>
    </w:p>
    <w:p w14:paraId="614823C4" w14:textId="20948476" w:rsidR="00415FE4" w:rsidRPr="00A36839" w:rsidRDefault="002A0B2C" w:rsidP="002A0B2C">
      <w:pPr>
        <w:rPr>
          <w:rFonts w:ascii="Times" w:hAnsi="Times"/>
          <w:sz w:val="24"/>
          <w:szCs w:val="24"/>
        </w:rPr>
      </w:pPr>
      <w:r w:rsidRPr="00A36839">
        <w:rPr>
          <w:rFonts w:ascii="Times" w:hAnsi="Times"/>
          <w:sz w:val="24"/>
          <w:szCs w:val="24"/>
        </w:rPr>
        <w:t xml:space="preserve">Later, in 2008, work in construction and mining industries </w:t>
      </w:r>
      <w:r w:rsidR="004C0F10" w:rsidRPr="00A36839">
        <w:rPr>
          <w:rFonts w:ascii="Times" w:hAnsi="Times"/>
          <w:sz w:val="24"/>
          <w:szCs w:val="24"/>
        </w:rPr>
        <w:t xml:space="preserve">was added </w:t>
      </w:r>
      <w:r w:rsidR="00AE17AC" w:rsidRPr="00A36839">
        <w:rPr>
          <w:rFonts w:ascii="Times" w:hAnsi="Times"/>
          <w:sz w:val="24"/>
          <w:szCs w:val="24"/>
        </w:rPr>
        <w:t xml:space="preserve">to the eligible work activities, as long as this work was </w:t>
      </w:r>
      <w:r w:rsidRPr="00A36839">
        <w:rPr>
          <w:rFonts w:ascii="Times" w:hAnsi="Times"/>
          <w:sz w:val="24"/>
          <w:szCs w:val="24"/>
        </w:rPr>
        <w:t xml:space="preserve">located in </w:t>
      </w:r>
      <w:r w:rsidR="00AE17AC" w:rsidRPr="00A36839">
        <w:rPr>
          <w:rFonts w:ascii="Times" w:hAnsi="Times"/>
          <w:sz w:val="24"/>
          <w:szCs w:val="24"/>
        </w:rPr>
        <w:t>a r</w:t>
      </w:r>
      <w:r w:rsidRPr="00A36839">
        <w:rPr>
          <w:rFonts w:ascii="Times" w:hAnsi="Times"/>
          <w:sz w:val="24"/>
          <w:szCs w:val="24"/>
        </w:rPr>
        <w:t>egional area</w:t>
      </w:r>
      <w:r w:rsidR="00AE17AC" w:rsidRPr="00A36839">
        <w:rPr>
          <w:rFonts w:ascii="Times" w:hAnsi="Times"/>
          <w:sz w:val="24"/>
          <w:szCs w:val="24"/>
        </w:rPr>
        <w:t xml:space="preserve">. </w:t>
      </w:r>
      <w:r w:rsidR="00A0405D" w:rsidRPr="00A36839">
        <w:rPr>
          <w:rFonts w:ascii="Times" w:hAnsi="Times"/>
          <w:sz w:val="24"/>
          <w:szCs w:val="24"/>
        </w:rPr>
        <w:t>Also, the</w:t>
      </w:r>
      <w:r w:rsidR="00AE17AC" w:rsidRPr="00A36839">
        <w:rPr>
          <w:rFonts w:ascii="Times" w:hAnsi="Times"/>
          <w:sz w:val="24"/>
          <w:szCs w:val="24"/>
        </w:rPr>
        <w:t xml:space="preserve"> limitation </w:t>
      </w:r>
      <w:r w:rsidRPr="00A36839">
        <w:rPr>
          <w:rFonts w:ascii="Times" w:hAnsi="Times"/>
          <w:sz w:val="24"/>
          <w:szCs w:val="24"/>
        </w:rPr>
        <w:t>of ‘seasonal work’ was deleted and replaced by ‘any type of work’ in these industries.</w:t>
      </w:r>
      <w:r w:rsidR="000C4E6C" w:rsidRPr="00A36839">
        <w:rPr>
          <w:rStyle w:val="EndnoteReference"/>
          <w:rFonts w:ascii="Times" w:hAnsi="Times"/>
          <w:sz w:val="24"/>
          <w:szCs w:val="24"/>
        </w:rPr>
        <w:endnoteReference w:id="6"/>
      </w:r>
    </w:p>
    <w:p w14:paraId="0DEE99DF" w14:textId="77777777" w:rsidR="00A36839" w:rsidRPr="00A36839" w:rsidRDefault="004C0F10" w:rsidP="004F41F6">
      <w:pPr>
        <w:rPr>
          <w:rFonts w:ascii="Times" w:hAnsi="Times"/>
          <w:sz w:val="24"/>
          <w:szCs w:val="24"/>
        </w:rPr>
      </w:pPr>
      <w:r w:rsidRPr="00A36839">
        <w:rPr>
          <w:rFonts w:ascii="Times" w:hAnsi="Times"/>
          <w:sz w:val="24"/>
          <w:szCs w:val="24"/>
        </w:rPr>
        <w:t xml:space="preserve">Then, again </w:t>
      </w:r>
      <w:r w:rsidR="005E2F65" w:rsidRPr="00A36839">
        <w:rPr>
          <w:rFonts w:ascii="Times" w:hAnsi="Times"/>
          <w:sz w:val="24"/>
          <w:szCs w:val="24"/>
        </w:rPr>
        <w:t xml:space="preserve">in 2005, the </w:t>
      </w:r>
      <w:r w:rsidR="004F41F6" w:rsidRPr="00A36839">
        <w:rPr>
          <w:rFonts w:ascii="Times" w:hAnsi="Times"/>
          <w:sz w:val="24"/>
          <w:szCs w:val="24"/>
        </w:rPr>
        <w:t>government created a new WHM visa</w:t>
      </w:r>
      <w:r w:rsidR="003013E7" w:rsidRPr="00A36839">
        <w:rPr>
          <w:rFonts w:ascii="Times" w:hAnsi="Times"/>
          <w:sz w:val="24"/>
          <w:szCs w:val="24"/>
        </w:rPr>
        <w:t>, starting in 2012</w:t>
      </w:r>
      <w:r w:rsidR="00E71462" w:rsidRPr="00A36839">
        <w:rPr>
          <w:rFonts w:ascii="Times" w:hAnsi="Times"/>
          <w:sz w:val="24"/>
          <w:szCs w:val="24"/>
        </w:rPr>
        <w:t xml:space="preserve">. </w:t>
      </w:r>
      <w:r w:rsidR="004F41F6" w:rsidRPr="00A36839">
        <w:rPr>
          <w:rFonts w:ascii="Times" w:hAnsi="Times"/>
          <w:sz w:val="24"/>
          <w:szCs w:val="24"/>
        </w:rPr>
        <w:t>This was the Work and Holiday (462) visa</w:t>
      </w:r>
      <w:r w:rsidR="00616C85" w:rsidRPr="00A36839">
        <w:rPr>
          <w:rFonts w:ascii="Times" w:hAnsi="Times"/>
          <w:sz w:val="24"/>
          <w:szCs w:val="24"/>
        </w:rPr>
        <w:t xml:space="preserve"> which, which unlike the 417</w:t>
      </w:r>
      <w:r w:rsidR="003013E7" w:rsidRPr="00A36839">
        <w:rPr>
          <w:rFonts w:ascii="Times" w:hAnsi="Times"/>
          <w:sz w:val="24"/>
          <w:szCs w:val="24"/>
        </w:rPr>
        <w:t xml:space="preserve"> visa, includes numerical caps for each recipient country. The range of </w:t>
      </w:r>
      <w:r w:rsidR="00616C85" w:rsidRPr="00A36839">
        <w:rPr>
          <w:rFonts w:ascii="Times" w:hAnsi="Times"/>
          <w:sz w:val="24"/>
          <w:szCs w:val="24"/>
        </w:rPr>
        <w:t xml:space="preserve">eligible countries </w:t>
      </w:r>
      <w:r w:rsidR="005A5480" w:rsidRPr="00A36839">
        <w:rPr>
          <w:rFonts w:ascii="Times" w:hAnsi="Times"/>
          <w:sz w:val="24"/>
          <w:szCs w:val="24"/>
        </w:rPr>
        <w:t xml:space="preserve">has been </w:t>
      </w:r>
      <w:r w:rsidR="00616C85" w:rsidRPr="00A36839">
        <w:rPr>
          <w:rFonts w:ascii="Times" w:hAnsi="Times"/>
          <w:sz w:val="24"/>
          <w:szCs w:val="24"/>
        </w:rPr>
        <w:t xml:space="preserve">extended to </w:t>
      </w:r>
      <w:r w:rsidR="003013E7" w:rsidRPr="00A36839">
        <w:rPr>
          <w:rFonts w:ascii="Times" w:hAnsi="Times"/>
          <w:sz w:val="24"/>
          <w:szCs w:val="24"/>
        </w:rPr>
        <w:t xml:space="preserve">include </w:t>
      </w:r>
      <w:r w:rsidR="004F41F6" w:rsidRPr="00A36839">
        <w:rPr>
          <w:rFonts w:ascii="Times" w:hAnsi="Times"/>
          <w:sz w:val="24"/>
          <w:szCs w:val="24"/>
        </w:rPr>
        <w:t xml:space="preserve">low wage Asian countries (including China and Indonesia) and much of Latin America. </w:t>
      </w:r>
      <w:r w:rsidR="003013E7" w:rsidRPr="00A36839">
        <w:rPr>
          <w:rFonts w:ascii="Times" w:hAnsi="Times"/>
          <w:sz w:val="24"/>
          <w:szCs w:val="24"/>
        </w:rPr>
        <w:t>By far the largest cap has been allocated to China which has been granted up to 5,000 visas a year (always filled rapidly).</w:t>
      </w:r>
    </w:p>
    <w:p w14:paraId="47AAB532" w14:textId="77777777" w:rsidR="00A36839" w:rsidRPr="00A36839" w:rsidRDefault="005E7434" w:rsidP="004F41F6">
      <w:pPr>
        <w:rPr>
          <w:rFonts w:ascii="Times" w:hAnsi="Times"/>
          <w:sz w:val="24"/>
          <w:szCs w:val="24"/>
        </w:rPr>
      </w:pPr>
      <w:r w:rsidRPr="00A36839">
        <w:rPr>
          <w:rFonts w:ascii="Times" w:hAnsi="Times"/>
          <w:sz w:val="24"/>
          <w:szCs w:val="24"/>
        </w:rPr>
        <w:t xml:space="preserve">These </w:t>
      </w:r>
      <w:r w:rsidR="004F41F6" w:rsidRPr="00A36839">
        <w:rPr>
          <w:rFonts w:ascii="Times" w:hAnsi="Times"/>
          <w:sz w:val="24"/>
          <w:szCs w:val="24"/>
        </w:rPr>
        <w:t>462 visa holders are permitted to work in Australia on much the same terms as 417 visa</w:t>
      </w:r>
      <w:r w:rsidR="00AE17AC" w:rsidRPr="00A36839">
        <w:rPr>
          <w:rFonts w:ascii="Times" w:hAnsi="Times"/>
          <w:sz w:val="24"/>
          <w:szCs w:val="24"/>
        </w:rPr>
        <w:t xml:space="preserve"> holders</w:t>
      </w:r>
      <w:r w:rsidR="004F41F6" w:rsidRPr="00A36839">
        <w:rPr>
          <w:rFonts w:ascii="Times" w:hAnsi="Times"/>
          <w:sz w:val="24"/>
          <w:szCs w:val="24"/>
        </w:rPr>
        <w:t xml:space="preserve">. </w:t>
      </w:r>
      <w:r w:rsidR="003013E7" w:rsidRPr="00A36839">
        <w:rPr>
          <w:rFonts w:ascii="Times" w:hAnsi="Times"/>
          <w:sz w:val="24"/>
          <w:szCs w:val="24"/>
        </w:rPr>
        <w:t xml:space="preserve">Those on </w:t>
      </w:r>
      <w:r w:rsidR="00AE17AC" w:rsidRPr="00A36839">
        <w:rPr>
          <w:rFonts w:ascii="Times" w:hAnsi="Times"/>
          <w:sz w:val="24"/>
          <w:szCs w:val="24"/>
        </w:rPr>
        <w:t>462 visas</w:t>
      </w:r>
      <w:r w:rsidR="003E254B" w:rsidRPr="00A36839">
        <w:rPr>
          <w:rFonts w:ascii="Times" w:hAnsi="Times"/>
          <w:sz w:val="24"/>
          <w:szCs w:val="24"/>
        </w:rPr>
        <w:t xml:space="preserve"> have</w:t>
      </w:r>
      <w:r w:rsidR="003013E7" w:rsidRPr="00A36839">
        <w:rPr>
          <w:rFonts w:ascii="Times" w:hAnsi="Times"/>
          <w:sz w:val="24"/>
          <w:szCs w:val="24"/>
        </w:rPr>
        <w:t>,</w:t>
      </w:r>
      <w:r w:rsidR="003E254B" w:rsidRPr="00A36839">
        <w:rPr>
          <w:rFonts w:ascii="Times" w:hAnsi="Times"/>
          <w:sz w:val="24"/>
          <w:szCs w:val="24"/>
        </w:rPr>
        <w:t xml:space="preserve"> since 2016, </w:t>
      </w:r>
      <w:r w:rsidR="003013E7" w:rsidRPr="00A36839">
        <w:rPr>
          <w:rFonts w:ascii="Times" w:hAnsi="Times"/>
          <w:sz w:val="24"/>
          <w:szCs w:val="24"/>
        </w:rPr>
        <w:t xml:space="preserve">also </w:t>
      </w:r>
      <w:r w:rsidR="003E254B" w:rsidRPr="00A36839">
        <w:rPr>
          <w:rFonts w:ascii="Times" w:hAnsi="Times"/>
          <w:sz w:val="24"/>
          <w:szCs w:val="24"/>
        </w:rPr>
        <w:t>been</w:t>
      </w:r>
      <w:r w:rsidR="00A36839" w:rsidRPr="00A36839">
        <w:rPr>
          <w:rFonts w:ascii="Times" w:hAnsi="Times"/>
          <w:sz w:val="24"/>
          <w:szCs w:val="24"/>
        </w:rPr>
        <w:t xml:space="preserve"> </w:t>
      </w:r>
      <w:r w:rsidR="00E71462" w:rsidRPr="00A36839">
        <w:rPr>
          <w:rFonts w:ascii="Times" w:hAnsi="Times"/>
          <w:sz w:val="24"/>
          <w:szCs w:val="24"/>
        </w:rPr>
        <w:t xml:space="preserve">given the option of </w:t>
      </w:r>
      <w:r w:rsidR="004F41F6" w:rsidRPr="00A36839">
        <w:rPr>
          <w:rFonts w:ascii="Times" w:hAnsi="Times"/>
          <w:sz w:val="24"/>
          <w:szCs w:val="24"/>
        </w:rPr>
        <w:t>apply</w:t>
      </w:r>
      <w:r w:rsidR="00E71462" w:rsidRPr="00A36839">
        <w:rPr>
          <w:rFonts w:ascii="Times" w:hAnsi="Times"/>
          <w:sz w:val="24"/>
          <w:szCs w:val="24"/>
        </w:rPr>
        <w:t xml:space="preserve">ing for a second visa, </w:t>
      </w:r>
      <w:r w:rsidR="00AE17AC" w:rsidRPr="00A36839">
        <w:rPr>
          <w:rFonts w:ascii="Times" w:hAnsi="Times"/>
          <w:sz w:val="24"/>
          <w:szCs w:val="24"/>
        </w:rPr>
        <w:t>under the same conditions as</w:t>
      </w:r>
      <w:r w:rsidR="00562931" w:rsidRPr="00A36839">
        <w:rPr>
          <w:rFonts w:ascii="Times" w:hAnsi="Times"/>
          <w:sz w:val="24"/>
          <w:szCs w:val="24"/>
        </w:rPr>
        <w:t xml:space="preserve"> those applied to </w:t>
      </w:r>
      <w:r w:rsidR="00AE17AC" w:rsidRPr="00A36839">
        <w:rPr>
          <w:rFonts w:ascii="Times" w:hAnsi="Times"/>
          <w:sz w:val="24"/>
          <w:szCs w:val="24"/>
        </w:rPr>
        <w:t>417 visa</w:t>
      </w:r>
      <w:r w:rsidR="00562931" w:rsidRPr="00A36839">
        <w:rPr>
          <w:rFonts w:ascii="Times" w:hAnsi="Times"/>
          <w:sz w:val="24"/>
          <w:szCs w:val="24"/>
        </w:rPr>
        <w:t xml:space="preserve"> holders</w:t>
      </w:r>
      <w:r w:rsidR="00790F5F" w:rsidRPr="00A36839">
        <w:rPr>
          <w:rFonts w:ascii="Times" w:hAnsi="Times"/>
          <w:sz w:val="24"/>
          <w:szCs w:val="24"/>
        </w:rPr>
        <w:t xml:space="preserve"> (that is, that they work 88 days in agriculture during their first year)</w:t>
      </w:r>
      <w:r w:rsidR="00E71462" w:rsidRPr="00A36839">
        <w:rPr>
          <w:rFonts w:ascii="Times" w:hAnsi="Times"/>
          <w:sz w:val="24"/>
          <w:szCs w:val="24"/>
        </w:rPr>
        <w:t>.</w:t>
      </w:r>
    </w:p>
    <w:p w14:paraId="11E1B11C" w14:textId="3187F40F" w:rsidR="00A36839" w:rsidRPr="00A36839" w:rsidRDefault="00E71462" w:rsidP="004F41F6">
      <w:pPr>
        <w:rPr>
          <w:rFonts w:ascii="Times" w:hAnsi="Times"/>
          <w:sz w:val="24"/>
          <w:szCs w:val="24"/>
        </w:rPr>
      </w:pPr>
      <w:r w:rsidRPr="00A36839">
        <w:rPr>
          <w:rFonts w:ascii="Times" w:hAnsi="Times"/>
          <w:sz w:val="24"/>
          <w:szCs w:val="24"/>
        </w:rPr>
        <w:t xml:space="preserve">The 462 visa </w:t>
      </w:r>
      <w:r w:rsidR="00212888" w:rsidRPr="00A36839">
        <w:rPr>
          <w:rFonts w:ascii="Times" w:hAnsi="Times"/>
          <w:sz w:val="24"/>
          <w:szCs w:val="24"/>
        </w:rPr>
        <w:t>also incorporated a</w:t>
      </w:r>
      <w:r w:rsidRPr="00A36839">
        <w:rPr>
          <w:rFonts w:ascii="Times" w:hAnsi="Times"/>
          <w:sz w:val="24"/>
          <w:szCs w:val="24"/>
        </w:rPr>
        <w:t xml:space="preserve"> </w:t>
      </w:r>
      <w:r w:rsidR="004F41F6" w:rsidRPr="00A36839">
        <w:rPr>
          <w:rFonts w:ascii="Times" w:hAnsi="Times"/>
          <w:sz w:val="24"/>
          <w:szCs w:val="24"/>
        </w:rPr>
        <w:t xml:space="preserve">reciprocal opportunity for young Australians to take up a similar opportunity in </w:t>
      </w:r>
      <w:r w:rsidR="00212888" w:rsidRPr="00A36839">
        <w:rPr>
          <w:rFonts w:ascii="Times" w:hAnsi="Times"/>
          <w:sz w:val="24"/>
          <w:szCs w:val="24"/>
        </w:rPr>
        <w:t>the countries eligible. At least it did so until China was included</w:t>
      </w:r>
      <w:r w:rsidR="008245FD" w:rsidRPr="00A36839">
        <w:rPr>
          <w:rFonts w:ascii="Times" w:hAnsi="Times"/>
          <w:sz w:val="24"/>
          <w:szCs w:val="24"/>
        </w:rPr>
        <w:t xml:space="preserve"> in late 2015</w:t>
      </w:r>
      <w:r w:rsidR="00212888" w:rsidRPr="00A36839">
        <w:rPr>
          <w:rFonts w:ascii="Times" w:hAnsi="Times"/>
          <w:sz w:val="24"/>
          <w:szCs w:val="24"/>
        </w:rPr>
        <w:t xml:space="preserve">. </w:t>
      </w:r>
      <w:r w:rsidR="00790F5F" w:rsidRPr="00A36839">
        <w:rPr>
          <w:rFonts w:ascii="Times" w:hAnsi="Times"/>
          <w:sz w:val="24"/>
          <w:szCs w:val="24"/>
        </w:rPr>
        <w:t>T</w:t>
      </w:r>
      <w:r w:rsidR="008245FD" w:rsidRPr="00A36839">
        <w:rPr>
          <w:rFonts w:ascii="Times" w:hAnsi="Times"/>
          <w:sz w:val="24"/>
          <w:szCs w:val="24"/>
        </w:rPr>
        <w:t>here is</w:t>
      </w:r>
      <w:r w:rsidR="00212888" w:rsidRPr="00A36839">
        <w:rPr>
          <w:rFonts w:ascii="Times" w:hAnsi="Times"/>
          <w:sz w:val="24"/>
          <w:szCs w:val="24"/>
        </w:rPr>
        <w:t xml:space="preserve"> no reciprocal arrangement with China.</w:t>
      </w:r>
    </w:p>
    <w:p w14:paraId="381CAC58" w14:textId="1591B537" w:rsidR="00415FE4" w:rsidRPr="00A36839" w:rsidRDefault="004F41F6" w:rsidP="004F41F6">
      <w:pPr>
        <w:rPr>
          <w:rFonts w:ascii="Times" w:hAnsi="Times"/>
          <w:sz w:val="24"/>
          <w:szCs w:val="24"/>
        </w:rPr>
      </w:pPr>
      <w:r w:rsidRPr="00A36839">
        <w:rPr>
          <w:rFonts w:ascii="Times" w:hAnsi="Times"/>
          <w:sz w:val="24"/>
          <w:szCs w:val="24"/>
        </w:rPr>
        <w:t xml:space="preserve">The Morrison Coalition government is currently conducting negotiations with </w:t>
      </w:r>
      <w:r w:rsidR="00B1738B" w:rsidRPr="00A36839">
        <w:rPr>
          <w:rFonts w:ascii="Times" w:hAnsi="Times"/>
          <w:sz w:val="24"/>
          <w:szCs w:val="24"/>
        </w:rPr>
        <w:t xml:space="preserve">additional </w:t>
      </w:r>
      <w:r w:rsidRPr="00A36839">
        <w:rPr>
          <w:rFonts w:ascii="Times" w:hAnsi="Times"/>
          <w:sz w:val="24"/>
          <w:szCs w:val="24"/>
        </w:rPr>
        <w:t>countries</w:t>
      </w:r>
      <w:r w:rsidR="00B1738B" w:rsidRPr="00A36839">
        <w:rPr>
          <w:rFonts w:ascii="Times" w:hAnsi="Times"/>
          <w:sz w:val="24"/>
          <w:szCs w:val="24"/>
        </w:rPr>
        <w:t>,</w:t>
      </w:r>
      <w:r w:rsidRPr="00A36839">
        <w:rPr>
          <w:rFonts w:ascii="Times" w:hAnsi="Times"/>
          <w:sz w:val="24"/>
          <w:szCs w:val="24"/>
        </w:rPr>
        <w:t xml:space="preserve"> including India</w:t>
      </w:r>
      <w:r w:rsidR="005E7434" w:rsidRPr="00A36839">
        <w:rPr>
          <w:rFonts w:ascii="Times" w:hAnsi="Times"/>
          <w:sz w:val="24"/>
          <w:szCs w:val="24"/>
        </w:rPr>
        <w:t>,</w:t>
      </w:r>
      <w:r w:rsidRPr="00A36839">
        <w:rPr>
          <w:rFonts w:ascii="Times" w:hAnsi="Times"/>
          <w:sz w:val="24"/>
          <w:szCs w:val="24"/>
        </w:rPr>
        <w:t xml:space="preserve"> and has recently</w:t>
      </w:r>
      <w:r w:rsidR="00E71462" w:rsidRPr="00A36839">
        <w:rPr>
          <w:rFonts w:ascii="Times" w:hAnsi="Times"/>
          <w:sz w:val="24"/>
          <w:szCs w:val="24"/>
        </w:rPr>
        <w:t xml:space="preserve"> increased the size of</w:t>
      </w:r>
      <w:r w:rsidRPr="00A36839">
        <w:rPr>
          <w:rFonts w:ascii="Times" w:hAnsi="Times"/>
          <w:sz w:val="24"/>
          <w:szCs w:val="24"/>
        </w:rPr>
        <w:t xml:space="preserve"> the caps on grants for most </w:t>
      </w:r>
      <w:r w:rsidR="00AE17AC" w:rsidRPr="00A36839">
        <w:rPr>
          <w:rFonts w:ascii="Times" w:hAnsi="Times"/>
          <w:sz w:val="24"/>
          <w:szCs w:val="24"/>
        </w:rPr>
        <w:t xml:space="preserve">of the </w:t>
      </w:r>
      <w:r w:rsidRPr="00A36839">
        <w:rPr>
          <w:rFonts w:ascii="Times" w:hAnsi="Times"/>
          <w:sz w:val="24"/>
          <w:szCs w:val="24"/>
        </w:rPr>
        <w:t>eligible countries.</w:t>
      </w:r>
    </w:p>
    <w:p w14:paraId="2E2199B5" w14:textId="77777777" w:rsidR="00A36839" w:rsidRPr="00A36839" w:rsidRDefault="00B1738B" w:rsidP="004F41F6">
      <w:pPr>
        <w:rPr>
          <w:rFonts w:ascii="Times" w:hAnsi="Times"/>
          <w:sz w:val="24"/>
          <w:szCs w:val="24"/>
        </w:rPr>
      </w:pPr>
      <w:r w:rsidRPr="00A36839">
        <w:rPr>
          <w:rFonts w:ascii="Times" w:hAnsi="Times"/>
          <w:sz w:val="24"/>
          <w:szCs w:val="24"/>
        </w:rPr>
        <w:t xml:space="preserve">In </w:t>
      </w:r>
      <w:r w:rsidR="00667F64" w:rsidRPr="00A36839">
        <w:rPr>
          <w:rFonts w:ascii="Times" w:hAnsi="Times"/>
          <w:sz w:val="24"/>
          <w:szCs w:val="24"/>
        </w:rPr>
        <w:t>2008 the Labor government create</w:t>
      </w:r>
      <w:r w:rsidRPr="00A36839">
        <w:rPr>
          <w:rFonts w:ascii="Times" w:hAnsi="Times"/>
          <w:sz w:val="24"/>
          <w:szCs w:val="24"/>
        </w:rPr>
        <w:t>d</w:t>
      </w:r>
      <w:r w:rsidR="00667F64" w:rsidRPr="00A36839">
        <w:rPr>
          <w:rFonts w:ascii="Times" w:hAnsi="Times"/>
          <w:sz w:val="24"/>
          <w:szCs w:val="24"/>
        </w:rPr>
        <w:t xml:space="preserve"> a new designated agricultural work visa entitled the </w:t>
      </w:r>
      <w:r w:rsidR="004F41F6" w:rsidRPr="00A36839">
        <w:rPr>
          <w:rFonts w:ascii="Times" w:hAnsi="Times"/>
          <w:sz w:val="24"/>
          <w:szCs w:val="24"/>
        </w:rPr>
        <w:t>Seasonal Worker Program</w:t>
      </w:r>
      <w:r w:rsidR="001E21DD" w:rsidRPr="00A36839">
        <w:rPr>
          <w:rFonts w:ascii="Times" w:hAnsi="Times"/>
          <w:sz w:val="24"/>
          <w:szCs w:val="24"/>
        </w:rPr>
        <w:t xml:space="preserve"> (SWP)</w:t>
      </w:r>
      <w:r w:rsidR="004F41F6" w:rsidRPr="00A36839">
        <w:rPr>
          <w:rFonts w:ascii="Times" w:hAnsi="Times"/>
          <w:sz w:val="24"/>
          <w:szCs w:val="24"/>
        </w:rPr>
        <w:t xml:space="preserve">. </w:t>
      </w:r>
      <w:r w:rsidR="00667F64" w:rsidRPr="00A36839">
        <w:rPr>
          <w:rFonts w:ascii="Times" w:hAnsi="Times"/>
          <w:sz w:val="24"/>
          <w:szCs w:val="24"/>
        </w:rPr>
        <w:t>The sponsoring employer must guarantee the work available, and in return the visa holder must remain with the sponsoring employer.</w:t>
      </w:r>
    </w:p>
    <w:p w14:paraId="4F2421C8" w14:textId="77777777" w:rsidR="00A36839" w:rsidRPr="00A36839" w:rsidRDefault="00667F64" w:rsidP="004F41F6">
      <w:pPr>
        <w:rPr>
          <w:rFonts w:ascii="Times" w:hAnsi="Times"/>
          <w:sz w:val="24"/>
          <w:szCs w:val="24"/>
        </w:rPr>
      </w:pPr>
      <w:r w:rsidRPr="00A36839">
        <w:rPr>
          <w:rFonts w:ascii="Times" w:hAnsi="Times"/>
          <w:sz w:val="24"/>
          <w:szCs w:val="24"/>
        </w:rPr>
        <w:t xml:space="preserve">Despite </w:t>
      </w:r>
      <w:r w:rsidR="004F41F6" w:rsidRPr="00A36839">
        <w:rPr>
          <w:rFonts w:ascii="Times" w:hAnsi="Times"/>
          <w:sz w:val="24"/>
          <w:szCs w:val="24"/>
        </w:rPr>
        <w:t xml:space="preserve">numerous </w:t>
      </w:r>
      <w:r w:rsidRPr="00A36839">
        <w:rPr>
          <w:rFonts w:ascii="Times" w:hAnsi="Times"/>
          <w:sz w:val="24"/>
          <w:szCs w:val="24"/>
        </w:rPr>
        <w:t xml:space="preserve">subsequent </w:t>
      </w:r>
      <w:r w:rsidR="004F41F6" w:rsidRPr="00A36839">
        <w:rPr>
          <w:rFonts w:ascii="Times" w:hAnsi="Times"/>
          <w:sz w:val="24"/>
          <w:szCs w:val="24"/>
        </w:rPr>
        <w:t>amendments</w:t>
      </w:r>
      <w:r w:rsidR="004C0F10" w:rsidRPr="00A36839">
        <w:rPr>
          <w:rFonts w:ascii="Times" w:hAnsi="Times"/>
          <w:sz w:val="24"/>
          <w:szCs w:val="24"/>
        </w:rPr>
        <w:t>,</w:t>
      </w:r>
      <w:r w:rsidR="004F41F6" w:rsidRPr="00A36839">
        <w:rPr>
          <w:rFonts w:ascii="Times" w:hAnsi="Times"/>
          <w:sz w:val="24"/>
          <w:szCs w:val="24"/>
        </w:rPr>
        <w:t xml:space="preserve"> </w:t>
      </w:r>
      <w:r w:rsidRPr="00A36839">
        <w:rPr>
          <w:rFonts w:ascii="Times" w:hAnsi="Times"/>
          <w:sz w:val="24"/>
          <w:szCs w:val="24"/>
        </w:rPr>
        <w:t xml:space="preserve">the visa has not attracted many </w:t>
      </w:r>
      <w:r w:rsidR="00790F5F" w:rsidRPr="00A36839">
        <w:rPr>
          <w:rFonts w:ascii="Times" w:hAnsi="Times"/>
          <w:sz w:val="24"/>
          <w:szCs w:val="24"/>
        </w:rPr>
        <w:t>employers</w:t>
      </w:r>
      <w:r w:rsidRPr="00A36839">
        <w:rPr>
          <w:rFonts w:ascii="Times" w:hAnsi="Times"/>
          <w:sz w:val="24"/>
          <w:szCs w:val="24"/>
        </w:rPr>
        <w:t>, with the number of visas granted increasing from 1</w:t>
      </w:r>
      <w:r w:rsidR="00B66DD5" w:rsidRPr="00A36839">
        <w:rPr>
          <w:rFonts w:ascii="Times" w:hAnsi="Times"/>
          <w:sz w:val="24"/>
          <w:szCs w:val="24"/>
        </w:rPr>
        <w:t>,</w:t>
      </w:r>
      <w:r w:rsidRPr="00A36839">
        <w:rPr>
          <w:rFonts w:ascii="Times" w:hAnsi="Times"/>
          <w:sz w:val="24"/>
          <w:szCs w:val="24"/>
        </w:rPr>
        <w:t>473 in 2012-13 to just 8</w:t>
      </w:r>
      <w:r w:rsidR="00B66DD5" w:rsidRPr="00A36839">
        <w:rPr>
          <w:rFonts w:ascii="Times" w:hAnsi="Times"/>
          <w:sz w:val="24"/>
          <w:szCs w:val="24"/>
        </w:rPr>
        <w:t>,</w:t>
      </w:r>
      <w:r w:rsidRPr="00A36839">
        <w:rPr>
          <w:rFonts w:ascii="Times" w:hAnsi="Times"/>
          <w:sz w:val="24"/>
          <w:szCs w:val="24"/>
        </w:rPr>
        <w:t>459 in 2017-18. Howe and her colleagues think this low uptake is because the ‘</w:t>
      </w:r>
      <w:r w:rsidR="004F41F6" w:rsidRPr="00A36839">
        <w:rPr>
          <w:rFonts w:ascii="Times" w:hAnsi="Times"/>
          <w:sz w:val="24"/>
          <w:szCs w:val="24"/>
        </w:rPr>
        <w:t>regulatory burden is greater for the SWP than for employing other categories of workers, most notably WHMs, local workers and undocumented workers.’</w:t>
      </w:r>
      <w:r w:rsidRPr="00A36839">
        <w:rPr>
          <w:rStyle w:val="EndnoteReference"/>
          <w:rFonts w:ascii="Times" w:hAnsi="Times"/>
          <w:sz w:val="24"/>
          <w:szCs w:val="24"/>
        </w:rPr>
        <w:endnoteReference w:id="7"/>
      </w:r>
    </w:p>
    <w:p w14:paraId="2337AB9B" w14:textId="7AF61F85" w:rsidR="00415FE4" w:rsidRPr="00A36839" w:rsidRDefault="004F41F6" w:rsidP="00A36839">
      <w:pPr>
        <w:pStyle w:val="Heading2"/>
      </w:pPr>
      <w:bookmarkStart w:id="8" w:name="_Toc46319543"/>
      <w:bookmarkStart w:id="9" w:name="_Toc46319729"/>
      <w:r w:rsidRPr="00A36839">
        <w:t xml:space="preserve">Have </w:t>
      </w:r>
      <w:r w:rsidR="005A5480" w:rsidRPr="00A36839">
        <w:t xml:space="preserve">these </w:t>
      </w:r>
      <w:r w:rsidR="00834651" w:rsidRPr="00A36839">
        <w:t xml:space="preserve">WHM initiatives </w:t>
      </w:r>
      <w:r w:rsidR="005A5480" w:rsidRPr="00A36839">
        <w:t>delivered the workforce horticultural employers need</w:t>
      </w:r>
      <w:r w:rsidR="00834651" w:rsidRPr="00A36839">
        <w:t>?</w:t>
      </w:r>
      <w:bookmarkEnd w:id="8"/>
      <w:bookmarkEnd w:id="9"/>
    </w:p>
    <w:p w14:paraId="64F697E4" w14:textId="76BB9D4F" w:rsidR="005A5480" w:rsidRPr="00A36839" w:rsidRDefault="005A5480" w:rsidP="00E57697">
      <w:pPr>
        <w:rPr>
          <w:rFonts w:ascii="Times" w:hAnsi="Times"/>
          <w:sz w:val="24"/>
          <w:szCs w:val="24"/>
        </w:rPr>
      </w:pPr>
      <w:r w:rsidRPr="00A36839">
        <w:rPr>
          <w:rFonts w:ascii="Times" w:hAnsi="Times"/>
          <w:sz w:val="24"/>
          <w:szCs w:val="24"/>
        </w:rPr>
        <w:t>There is no doubt that successive Australian governments have restructured the WHM program in order to meet horticultural employers’ needs. But have they achieved this goal?</w:t>
      </w:r>
    </w:p>
    <w:p w14:paraId="1234EE94" w14:textId="77777777" w:rsidR="00A36839" w:rsidRPr="00A36839" w:rsidRDefault="005A5480" w:rsidP="00E57697">
      <w:pPr>
        <w:rPr>
          <w:rFonts w:ascii="Times" w:hAnsi="Times"/>
          <w:sz w:val="24"/>
          <w:szCs w:val="24"/>
        </w:rPr>
      </w:pPr>
      <w:r w:rsidRPr="00A36839">
        <w:rPr>
          <w:rFonts w:ascii="Times" w:hAnsi="Times"/>
          <w:sz w:val="24"/>
          <w:szCs w:val="24"/>
        </w:rPr>
        <w:t xml:space="preserve">I begin </w:t>
      </w:r>
      <w:r w:rsidR="00834651" w:rsidRPr="00A36839">
        <w:rPr>
          <w:rFonts w:ascii="Times" w:hAnsi="Times"/>
          <w:sz w:val="24"/>
          <w:szCs w:val="24"/>
        </w:rPr>
        <w:t xml:space="preserve">with those holding 417 visas. There was an upsurge in 417 visas issued after the </w:t>
      </w:r>
      <w:r w:rsidRPr="00A36839">
        <w:rPr>
          <w:rFonts w:ascii="Times" w:hAnsi="Times"/>
          <w:sz w:val="24"/>
          <w:szCs w:val="24"/>
        </w:rPr>
        <w:t xml:space="preserve">introduction in </w:t>
      </w:r>
      <w:r w:rsidR="00834651" w:rsidRPr="00A36839">
        <w:rPr>
          <w:rFonts w:ascii="Times" w:hAnsi="Times"/>
          <w:sz w:val="24"/>
          <w:szCs w:val="24"/>
        </w:rPr>
        <w:t xml:space="preserve">2005 </w:t>
      </w:r>
      <w:r w:rsidRPr="00A36839">
        <w:rPr>
          <w:rFonts w:ascii="Times" w:hAnsi="Times"/>
          <w:sz w:val="24"/>
          <w:szCs w:val="24"/>
        </w:rPr>
        <w:t xml:space="preserve">of the second year </w:t>
      </w:r>
      <w:r w:rsidR="00834651" w:rsidRPr="00A36839">
        <w:rPr>
          <w:rFonts w:ascii="Times" w:hAnsi="Times"/>
          <w:sz w:val="24"/>
          <w:szCs w:val="24"/>
        </w:rPr>
        <w:t>initiative</w:t>
      </w:r>
      <w:r w:rsidR="00EE2145" w:rsidRPr="00A36839">
        <w:rPr>
          <w:rFonts w:ascii="Times" w:hAnsi="Times"/>
          <w:sz w:val="24"/>
          <w:szCs w:val="24"/>
        </w:rPr>
        <w:t xml:space="preserve">. This continued </w:t>
      </w:r>
      <w:r w:rsidR="00834651" w:rsidRPr="00A36839">
        <w:rPr>
          <w:rFonts w:ascii="Times" w:hAnsi="Times"/>
          <w:sz w:val="24"/>
          <w:szCs w:val="24"/>
        </w:rPr>
        <w:t>in the aftermath of the G</w:t>
      </w:r>
      <w:r w:rsidRPr="00A36839">
        <w:rPr>
          <w:rFonts w:ascii="Times" w:hAnsi="Times"/>
          <w:sz w:val="24"/>
          <w:szCs w:val="24"/>
        </w:rPr>
        <w:t>lobal Financial Crisis (GFC)</w:t>
      </w:r>
      <w:r w:rsidR="00834651" w:rsidRPr="00A36839">
        <w:rPr>
          <w:rFonts w:ascii="Times" w:hAnsi="Times"/>
          <w:sz w:val="24"/>
          <w:szCs w:val="24"/>
        </w:rPr>
        <w:t xml:space="preserve"> in 200</w:t>
      </w:r>
      <w:r w:rsidR="00E57697" w:rsidRPr="00A36839">
        <w:rPr>
          <w:rFonts w:ascii="Times" w:hAnsi="Times"/>
          <w:sz w:val="24"/>
          <w:szCs w:val="24"/>
        </w:rPr>
        <w:t>8</w:t>
      </w:r>
      <w:r w:rsidR="00834651" w:rsidRPr="00A36839">
        <w:rPr>
          <w:rFonts w:ascii="Times" w:hAnsi="Times"/>
          <w:sz w:val="24"/>
          <w:szCs w:val="24"/>
        </w:rPr>
        <w:t xml:space="preserve"> (when work opportunities for young people in Europe declined). </w:t>
      </w:r>
      <w:r w:rsidR="00E57697" w:rsidRPr="00A36839">
        <w:rPr>
          <w:rFonts w:ascii="Times" w:hAnsi="Times"/>
          <w:sz w:val="24"/>
          <w:szCs w:val="24"/>
        </w:rPr>
        <w:t xml:space="preserve">As Bob Kinnaird has noted, in the immediate aftermath of the GFC: ‘the young </w:t>
      </w:r>
      <w:r w:rsidR="00E57697" w:rsidRPr="00A36839">
        <w:rPr>
          <w:rFonts w:ascii="Times" w:hAnsi="Times"/>
          <w:sz w:val="24"/>
          <w:szCs w:val="24"/>
        </w:rPr>
        <w:lastRenderedPageBreak/>
        <w:t>foreign nationals using the WHM program are increasingly coming from countries with depressed job markets with persistently high youth unemployment since the GFC, and are using the visa more as a work visa than for holidays’.</w:t>
      </w:r>
      <w:r w:rsidR="00E57697" w:rsidRPr="00A36839">
        <w:rPr>
          <w:rStyle w:val="EndnoteReference"/>
          <w:rFonts w:ascii="Times" w:hAnsi="Times"/>
          <w:sz w:val="24"/>
          <w:szCs w:val="24"/>
        </w:rPr>
        <w:endnoteReference w:id="8"/>
      </w:r>
    </w:p>
    <w:p w14:paraId="173002E5" w14:textId="77777777" w:rsidR="00A36839" w:rsidRPr="00A36839" w:rsidRDefault="00834651" w:rsidP="00E57697">
      <w:pPr>
        <w:rPr>
          <w:rFonts w:ascii="Times" w:hAnsi="Times"/>
          <w:sz w:val="24"/>
          <w:szCs w:val="24"/>
        </w:rPr>
      </w:pPr>
      <w:r w:rsidRPr="00A36839">
        <w:rPr>
          <w:rFonts w:ascii="Times" w:hAnsi="Times"/>
          <w:sz w:val="24"/>
          <w:szCs w:val="24"/>
        </w:rPr>
        <w:t>However, as Table 1 shows</w:t>
      </w:r>
      <w:r w:rsidR="005A5480" w:rsidRPr="00A36839">
        <w:rPr>
          <w:rFonts w:ascii="Times" w:hAnsi="Times"/>
          <w:sz w:val="24"/>
          <w:szCs w:val="24"/>
        </w:rPr>
        <w:t>,</w:t>
      </w:r>
      <w:r w:rsidRPr="00A36839">
        <w:rPr>
          <w:rFonts w:ascii="Times" w:hAnsi="Times"/>
          <w:sz w:val="24"/>
          <w:szCs w:val="24"/>
        </w:rPr>
        <w:t xml:space="preserve"> the number of 417 visas issued each year since 2015-16 has declined</w:t>
      </w:r>
      <w:r w:rsidR="005A5480" w:rsidRPr="00A36839">
        <w:rPr>
          <w:rFonts w:ascii="Times" w:hAnsi="Times"/>
          <w:sz w:val="24"/>
          <w:szCs w:val="24"/>
        </w:rPr>
        <w:t xml:space="preserve"> as European economies recovered.</w:t>
      </w:r>
      <w:r w:rsidR="00A36839" w:rsidRPr="00A36839">
        <w:rPr>
          <w:rFonts w:ascii="Times" w:hAnsi="Times"/>
          <w:sz w:val="24"/>
          <w:szCs w:val="24"/>
        </w:rPr>
        <w:t xml:space="preserve"> </w:t>
      </w:r>
      <w:r w:rsidR="00E57697" w:rsidRPr="00A36839">
        <w:rPr>
          <w:rFonts w:ascii="Times" w:hAnsi="Times"/>
          <w:sz w:val="24"/>
          <w:szCs w:val="24"/>
        </w:rPr>
        <w:t>Ireland is a spectacular example</w:t>
      </w:r>
      <w:r w:rsidR="005A5480" w:rsidRPr="00A36839">
        <w:rPr>
          <w:rFonts w:ascii="Times" w:hAnsi="Times"/>
          <w:sz w:val="24"/>
          <w:szCs w:val="24"/>
        </w:rPr>
        <w:t>, with WHM visa grants to Irish citizens declining sharply in recent years</w:t>
      </w:r>
      <w:r w:rsidR="00E57697" w:rsidRPr="00A36839">
        <w:rPr>
          <w:rFonts w:ascii="Times" w:hAnsi="Times"/>
          <w:sz w:val="24"/>
          <w:szCs w:val="24"/>
        </w:rPr>
        <w:t>.</w:t>
      </w:r>
    </w:p>
    <w:p w14:paraId="1AB38FA6" w14:textId="77777777" w:rsidR="00A36839" w:rsidRPr="00A36839" w:rsidRDefault="00E57697" w:rsidP="008C71CC">
      <w:pPr>
        <w:rPr>
          <w:rFonts w:ascii="Times" w:hAnsi="Times"/>
          <w:sz w:val="24"/>
          <w:szCs w:val="24"/>
        </w:rPr>
      </w:pPr>
      <w:r w:rsidRPr="00A36839">
        <w:rPr>
          <w:rFonts w:ascii="Times" w:hAnsi="Times"/>
          <w:sz w:val="24"/>
          <w:szCs w:val="24"/>
        </w:rPr>
        <w:t>How do these figures translate into WHM engagement in the horticultural industry?</w:t>
      </w:r>
    </w:p>
    <w:p w14:paraId="457649B7" w14:textId="77777777" w:rsidR="00A36839" w:rsidRPr="00A36839" w:rsidRDefault="00EE2145" w:rsidP="008C71CC">
      <w:pPr>
        <w:rPr>
          <w:rFonts w:ascii="Times" w:hAnsi="Times"/>
          <w:sz w:val="24"/>
          <w:szCs w:val="24"/>
        </w:rPr>
      </w:pPr>
      <w:r w:rsidRPr="00A36839">
        <w:rPr>
          <w:rFonts w:ascii="Times" w:hAnsi="Times"/>
          <w:sz w:val="24"/>
          <w:szCs w:val="24"/>
        </w:rPr>
        <w:t xml:space="preserve">The best indication is </w:t>
      </w:r>
      <w:r w:rsidR="00834651" w:rsidRPr="00A36839">
        <w:rPr>
          <w:rFonts w:ascii="Times" w:hAnsi="Times"/>
          <w:sz w:val="24"/>
          <w:szCs w:val="24"/>
        </w:rPr>
        <w:t>the number of these 417 recipients taking up the second year option</w:t>
      </w:r>
      <w:r w:rsidRPr="00A36839">
        <w:rPr>
          <w:rFonts w:ascii="Times" w:hAnsi="Times"/>
          <w:sz w:val="24"/>
          <w:szCs w:val="24"/>
        </w:rPr>
        <w:t xml:space="preserve">. </w:t>
      </w:r>
      <w:r w:rsidR="00E57697" w:rsidRPr="00A36839">
        <w:rPr>
          <w:rFonts w:ascii="Times" w:hAnsi="Times"/>
          <w:sz w:val="24"/>
          <w:szCs w:val="24"/>
        </w:rPr>
        <w:t xml:space="preserve">As Table 1 indicates, since 2016-16, this </w:t>
      </w:r>
      <w:r w:rsidRPr="00A36839">
        <w:rPr>
          <w:rFonts w:ascii="Times" w:hAnsi="Times"/>
          <w:sz w:val="24"/>
          <w:szCs w:val="24"/>
        </w:rPr>
        <w:t xml:space="preserve">number has held up at around the </w:t>
      </w:r>
      <w:r w:rsidR="00834651" w:rsidRPr="00A36839">
        <w:rPr>
          <w:rFonts w:ascii="Times" w:hAnsi="Times"/>
          <w:sz w:val="24"/>
          <w:szCs w:val="24"/>
        </w:rPr>
        <w:t xml:space="preserve">37,418 </w:t>
      </w:r>
      <w:r w:rsidRPr="00A36839">
        <w:rPr>
          <w:rFonts w:ascii="Times" w:hAnsi="Times"/>
          <w:sz w:val="24"/>
          <w:szCs w:val="24"/>
        </w:rPr>
        <w:t xml:space="preserve">granted </w:t>
      </w:r>
      <w:r w:rsidR="00834651" w:rsidRPr="00A36839">
        <w:rPr>
          <w:rFonts w:ascii="Times" w:hAnsi="Times"/>
          <w:sz w:val="24"/>
          <w:szCs w:val="24"/>
        </w:rPr>
        <w:t xml:space="preserve">in 2018-19. </w:t>
      </w:r>
      <w:r w:rsidR="00E57697" w:rsidRPr="00A36839">
        <w:rPr>
          <w:rFonts w:ascii="Times" w:hAnsi="Times"/>
          <w:sz w:val="24"/>
          <w:szCs w:val="24"/>
        </w:rPr>
        <w:t>This is an accurate indication because in order to be granted a second year visa the applicant has to provide evidence of at least 88 days in regional work.</w:t>
      </w:r>
    </w:p>
    <w:p w14:paraId="4708644A" w14:textId="77777777" w:rsidR="00A36839" w:rsidRPr="00A36839" w:rsidRDefault="00E57697" w:rsidP="00E57697">
      <w:pPr>
        <w:rPr>
          <w:rFonts w:ascii="Times" w:hAnsi="Times"/>
          <w:sz w:val="24"/>
          <w:szCs w:val="24"/>
        </w:rPr>
      </w:pPr>
      <w:r w:rsidRPr="00A36839">
        <w:rPr>
          <w:rFonts w:ascii="Times" w:hAnsi="Times"/>
          <w:sz w:val="24"/>
          <w:szCs w:val="24"/>
        </w:rPr>
        <w:t>According to DHA, the great majority of those gaining the second year visa (at least 78 per cent) have worked in agriculture.</w:t>
      </w:r>
      <w:r w:rsidRPr="00A36839">
        <w:rPr>
          <w:rStyle w:val="EndnoteReference"/>
          <w:rFonts w:ascii="Times" w:hAnsi="Times"/>
          <w:sz w:val="24"/>
          <w:szCs w:val="24"/>
        </w:rPr>
        <w:endnoteReference w:id="9"/>
      </w:r>
      <w:r w:rsidRPr="00A36839">
        <w:rPr>
          <w:rFonts w:ascii="Times" w:hAnsi="Times"/>
          <w:sz w:val="24"/>
          <w:szCs w:val="24"/>
        </w:rPr>
        <w:t xml:space="preserve"> Almost all of these would have been employed in horticulture.</w:t>
      </w:r>
    </w:p>
    <w:p w14:paraId="14C574CB" w14:textId="77777777" w:rsidR="00A36839" w:rsidRPr="00A36839" w:rsidRDefault="00E57697" w:rsidP="00834651">
      <w:pPr>
        <w:rPr>
          <w:rFonts w:ascii="Times" w:hAnsi="Times"/>
          <w:sz w:val="24"/>
          <w:szCs w:val="24"/>
        </w:rPr>
      </w:pPr>
      <w:r w:rsidRPr="00A36839">
        <w:rPr>
          <w:rFonts w:ascii="Times" w:hAnsi="Times"/>
          <w:sz w:val="24"/>
          <w:szCs w:val="24"/>
        </w:rPr>
        <w:t xml:space="preserve">The 37,418 figure for 2018-19 </w:t>
      </w:r>
      <w:r w:rsidR="005A5480" w:rsidRPr="00A36839">
        <w:rPr>
          <w:rFonts w:ascii="Times" w:hAnsi="Times"/>
          <w:sz w:val="24"/>
          <w:szCs w:val="24"/>
        </w:rPr>
        <w:t xml:space="preserve">is equivalent to </w:t>
      </w:r>
      <w:r w:rsidR="00834651" w:rsidRPr="00A36839">
        <w:rPr>
          <w:rFonts w:ascii="Times" w:hAnsi="Times"/>
          <w:sz w:val="24"/>
          <w:szCs w:val="24"/>
        </w:rPr>
        <w:t xml:space="preserve">24.5 per cent of the number holding first 417 visas </w:t>
      </w:r>
      <w:r w:rsidR="005A5480" w:rsidRPr="00A36839">
        <w:rPr>
          <w:rFonts w:ascii="Times" w:hAnsi="Times"/>
          <w:sz w:val="24"/>
          <w:szCs w:val="24"/>
        </w:rPr>
        <w:t xml:space="preserve">in </w:t>
      </w:r>
      <w:r w:rsidR="00834651" w:rsidRPr="00A36839">
        <w:rPr>
          <w:rFonts w:ascii="Times" w:hAnsi="Times"/>
          <w:sz w:val="24"/>
          <w:szCs w:val="24"/>
        </w:rPr>
        <w:t>the previous year.</w:t>
      </w:r>
    </w:p>
    <w:p w14:paraId="05868B08" w14:textId="77777777" w:rsidR="00A36839" w:rsidRPr="00A36839" w:rsidRDefault="00E57697" w:rsidP="008C71CC">
      <w:pPr>
        <w:rPr>
          <w:rFonts w:ascii="Times" w:hAnsi="Times"/>
          <w:sz w:val="24"/>
          <w:szCs w:val="24"/>
        </w:rPr>
      </w:pPr>
      <w:r w:rsidRPr="00A36839">
        <w:rPr>
          <w:rFonts w:ascii="Times" w:hAnsi="Times"/>
          <w:sz w:val="24"/>
          <w:szCs w:val="24"/>
        </w:rPr>
        <w:t xml:space="preserve">Assuming around 78 per cent of these worked in horticulture the implication is that </w:t>
      </w:r>
      <w:r w:rsidR="005A5480" w:rsidRPr="00A36839">
        <w:rPr>
          <w:rFonts w:ascii="Times" w:hAnsi="Times"/>
          <w:sz w:val="24"/>
          <w:szCs w:val="24"/>
        </w:rPr>
        <w:t xml:space="preserve">near </w:t>
      </w:r>
      <w:r w:rsidR="00834651" w:rsidRPr="00A36839">
        <w:rPr>
          <w:rFonts w:ascii="Times" w:hAnsi="Times"/>
          <w:sz w:val="24"/>
          <w:szCs w:val="24"/>
        </w:rPr>
        <w:t xml:space="preserve">30,000 </w:t>
      </w:r>
      <w:r w:rsidRPr="00A36839">
        <w:rPr>
          <w:rFonts w:ascii="Times" w:hAnsi="Times"/>
          <w:sz w:val="24"/>
          <w:szCs w:val="24"/>
        </w:rPr>
        <w:t xml:space="preserve">417 first year visa holders </w:t>
      </w:r>
      <w:r w:rsidR="00834651" w:rsidRPr="00A36839">
        <w:rPr>
          <w:rFonts w:ascii="Times" w:hAnsi="Times"/>
          <w:sz w:val="24"/>
          <w:szCs w:val="24"/>
        </w:rPr>
        <w:t>have taken the government’s bait o</w:t>
      </w:r>
      <w:r w:rsidR="005A5480" w:rsidRPr="00A36839">
        <w:rPr>
          <w:rFonts w:ascii="Times" w:hAnsi="Times"/>
          <w:sz w:val="24"/>
          <w:szCs w:val="24"/>
        </w:rPr>
        <w:t>f</w:t>
      </w:r>
      <w:r w:rsidR="00834651" w:rsidRPr="00A36839">
        <w:rPr>
          <w:rFonts w:ascii="Times" w:hAnsi="Times"/>
          <w:sz w:val="24"/>
          <w:szCs w:val="24"/>
        </w:rPr>
        <w:t xml:space="preserve"> an extra year in return for working at least 88 days for horticultural employers.</w:t>
      </w:r>
    </w:p>
    <w:p w14:paraId="624B92B7" w14:textId="77777777" w:rsidR="00A36839" w:rsidRPr="00A36839" w:rsidRDefault="00E57697" w:rsidP="008C71CC">
      <w:pPr>
        <w:rPr>
          <w:rFonts w:ascii="Times" w:hAnsi="Times"/>
          <w:sz w:val="24"/>
          <w:szCs w:val="24"/>
        </w:rPr>
      </w:pPr>
      <w:r w:rsidRPr="00A36839">
        <w:rPr>
          <w:rFonts w:ascii="Times" w:hAnsi="Times"/>
          <w:sz w:val="24"/>
          <w:szCs w:val="24"/>
        </w:rPr>
        <w:t xml:space="preserve">This does not seem like a large number relative to the estimated 130,000 horticultural workforce and </w:t>
      </w:r>
      <w:r w:rsidR="005A5480" w:rsidRPr="00A36839">
        <w:rPr>
          <w:rFonts w:ascii="Times" w:hAnsi="Times"/>
          <w:sz w:val="24"/>
          <w:szCs w:val="24"/>
        </w:rPr>
        <w:t xml:space="preserve">relative to </w:t>
      </w:r>
      <w:r w:rsidRPr="00A36839">
        <w:rPr>
          <w:rFonts w:ascii="Times" w:hAnsi="Times"/>
          <w:sz w:val="24"/>
          <w:szCs w:val="24"/>
        </w:rPr>
        <w:t>claims that WHMs constitute the ‘backbone’ of the workforce.</w:t>
      </w:r>
      <w:r w:rsidRPr="00A36839">
        <w:rPr>
          <w:rStyle w:val="EndnoteReference"/>
          <w:rFonts w:ascii="Times" w:hAnsi="Times"/>
          <w:sz w:val="24"/>
          <w:szCs w:val="24"/>
        </w:rPr>
        <w:t xml:space="preserve"> </w:t>
      </w:r>
      <w:r w:rsidRPr="00A36839">
        <w:rPr>
          <w:rStyle w:val="EndnoteReference"/>
          <w:rFonts w:ascii="Times" w:hAnsi="Times"/>
          <w:sz w:val="24"/>
          <w:szCs w:val="24"/>
        </w:rPr>
        <w:endnoteReference w:id="10"/>
      </w:r>
    </w:p>
    <w:p w14:paraId="5DB637FD" w14:textId="77777777" w:rsidR="00A36839" w:rsidRPr="00A36839" w:rsidRDefault="00E57697" w:rsidP="008C71CC">
      <w:pPr>
        <w:rPr>
          <w:rFonts w:ascii="Times" w:hAnsi="Times"/>
          <w:sz w:val="24"/>
          <w:szCs w:val="24"/>
        </w:rPr>
      </w:pPr>
      <w:r w:rsidRPr="00A36839">
        <w:rPr>
          <w:rFonts w:ascii="Times" w:hAnsi="Times"/>
          <w:sz w:val="24"/>
          <w:szCs w:val="24"/>
        </w:rPr>
        <w:t xml:space="preserve">These figures do not include the contribution </w:t>
      </w:r>
      <w:r w:rsidR="005A5480" w:rsidRPr="00A36839">
        <w:rPr>
          <w:rFonts w:ascii="Times" w:hAnsi="Times"/>
          <w:sz w:val="24"/>
          <w:szCs w:val="24"/>
        </w:rPr>
        <w:t xml:space="preserve">of </w:t>
      </w:r>
      <w:r w:rsidRPr="00A36839">
        <w:rPr>
          <w:rFonts w:ascii="Times" w:hAnsi="Times"/>
          <w:sz w:val="24"/>
          <w:szCs w:val="24"/>
        </w:rPr>
        <w:t>Work and Holiday (462) visa holders. Have they significantly augmented the horticultural workforce?</w:t>
      </w:r>
    </w:p>
    <w:p w14:paraId="2A918DE8" w14:textId="77777777" w:rsidR="00A36839" w:rsidRPr="00A36839" w:rsidRDefault="005F5F65" w:rsidP="00E57697">
      <w:pPr>
        <w:rPr>
          <w:rFonts w:ascii="Times" w:hAnsi="Times"/>
          <w:sz w:val="24"/>
          <w:szCs w:val="24"/>
        </w:rPr>
      </w:pPr>
      <w:r w:rsidRPr="00A36839">
        <w:rPr>
          <w:rFonts w:ascii="Times" w:hAnsi="Times"/>
          <w:sz w:val="24"/>
          <w:szCs w:val="24"/>
        </w:rPr>
        <w:t xml:space="preserve">Not really. </w:t>
      </w:r>
      <w:r w:rsidR="00E57697" w:rsidRPr="00A36839">
        <w:rPr>
          <w:rFonts w:ascii="Times" w:hAnsi="Times"/>
          <w:sz w:val="24"/>
          <w:szCs w:val="24"/>
        </w:rPr>
        <w:t>Table 1 shows</w:t>
      </w:r>
      <w:r w:rsidR="005A5480" w:rsidRPr="00A36839">
        <w:rPr>
          <w:rFonts w:ascii="Times" w:hAnsi="Times"/>
          <w:sz w:val="24"/>
          <w:szCs w:val="24"/>
        </w:rPr>
        <w:t xml:space="preserve"> that this </w:t>
      </w:r>
      <w:r w:rsidR="00E57697" w:rsidRPr="00A36839">
        <w:rPr>
          <w:rFonts w:ascii="Times" w:hAnsi="Times"/>
          <w:sz w:val="24"/>
          <w:szCs w:val="24"/>
        </w:rPr>
        <w:t xml:space="preserve">program has provided a limited boost, with 5,801 second year visas issued </w:t>
      </w:r>
      <w:r w:rsidR="005A5480" w:rsidRPr="00A36839">
        <w:rPr>
          <w:rFonts w:ascii="Times" w:hAnsi="Times"/>
          <w:sz w:val="24"/>
          <w:szCs w:val="24"/>
        </w:rPr>
        <w:t xml:space="preserve">in 2018-19 to </w:t>
      </w:r>
      <w:r w:rsidR="00E57697" w:rsidRPr="00A36839">
        <w:rPr>
          <w:rFonts w:ascii="Times" w:hAnsi="Times"/>
          <w:sz w:val="24"/>
          <w:szCs w:val="24"/>
        </w:rPr>
        <w:t>462</w:t>
      </w:r>
      <w:r w:rsidR="005A5480" w:rsidRPr="00A36839">
        <w:rPr>
          <w:rFonts w:ascii="Times" w:hAnsi="Times"/>
          <w:sz w:val="24"/>
          <w:szCs w:val="24"/>
        </w:rPr>
        <w:t xml:space="preserve"> visa holders</w:t>
      </w:r>
      <w:r w:rsidR="00E57697" w:rsidRPr="00A36839">
        <w:rPr>
          <w:rFonts w:ascii="Times" w:hAnsi="Times"/>
          <w:sz w:val="24"/>
          <w:szCs w:val="24"/>
        </w:rPr>
        <w:t xml:space="preserve">. But like the 417 visa program, the second year program appears to have limited appeal. The share of the 462 cohort taking up the second year option </w:t>
      </w:r>
      <w:r w:rsidR="005A5480" w:rsidRPr="00A36839">
        <w:rPr>
          <w:rFonts w:ascii="Times" w:hAnsi="Times"/>
          <w:sz w:val="24"/>
          <w:szCs w:val="24"/>
        </w:rPr>
        <w:t xml:space="preserve">in 2018-19 was around 27 per cent </w:t>
      </w:r>
      <w:r w:rsidR="00E57697" w:rsidRPr="00A36839">
        <w:rPr>
          <w:rFonts w:ascii="Times" w:hAnsi="Times"/>
          <w:sz w:val="24"/>
          <w:szCs w:val="24"/>
        </w:rPr>
        <w:t>(that is</w:t>
      </w:r>
      <w:r w:rsidR="005A5480" w:rsidRPr="00A36839">
        <w:rPr>
          <w:rFonts w:ascii="Times" w:hAnsi="Times"/>
          <w:sz w:val="24"/>
          <w:szCs w:val="24"/>
        </w:rPr>
        <w:t>,</w:t>
      </w:r>
      <w:r w:rsidR="00E57697" w:rsidRPr="00A36839">
        <w:rPr>
          <w:rFonts w:ascii="Times" w:hAnsi="Times"/>
          <w:sz w:val="24"/>
          <w:szCs w:val="24"/>
        </w:rPr>
        <w:t xml:space="preserve"> 5801 of the previous year’s first visa holders of 21,667)</w:t>
      </w:r>
      <w:r w:rsidR="005A5480" w:rsidRPr="00A36839">
        <w:rPr>
          <w:rFonts w:ascii="Times" w:hAnsi="Times"/>
          <w:sz w:val="24"/>
          <w:szCs w:val="24"/>
        </w:rPr>
        <w:t xml:space="preserve">. This share </w:t>
      </w:r>
      <w:r w:rsidR="00E57697" w:rsidRPr="00A36839">
        <w:rPr>
          <w:rFonts w:ascii="Times" w:hAnsi="Times"/>
          <w:sz w:val="24"/>
          <w:szCs w:val="24"/>
        </w:rPr>
        <w:t>is not much higher than the share of 417 visa holders who are taking up this option.</w:t>
      </w:r>
    </w:p>
    <w:p w14:paraId="1C028DAF" w14:textId="77777777" w:rsidR="00A36839" w:rsidRPr="00A36839" w:rsidRDefault="00E57697" w:rsidP="00E57697">
      <w:pPr>
        <w:rPr>
          <w:rFonts w:ascii="Times" w:hAnsi="Times"/>
          <w:sz w:val="24"/>
          <w:szCs w:val="24"/>
        </w:rPr>
      </w:pPr>
      <w:r w:rsidRPr="00A36839">
        <w:rPr>
          <w:rFonts w:ascii="Times" w:hAnsi="Times"/>
          <w:sz w:val="24"/>
          <w:szCs w:val="24"/>
        </w:rPr>
        <w:t>In seeking an explanation of this seemingly low take-up of the second year deal we need to consider what is offering, or more to the point, not offering, in the context of the social origin of 417 and 462 first visa holders.</w:t>
      </w:r>
    </w:p>
    <w:p w14:paraId="1A94832F" w14:textId="2CFDB481" w:rsidR="00E57697" w:rsidRPr="00A36839" w:rsidRDefault="00E57697" w:rsidP="00A36839">
      <w:pPr>
        <w:pStyle w:val="Heading3"/>
      </w:pPr>
      <w:bookmarkStart w:id="10" w:name="_Toc46319544"/>
      <w:bookmarkStart w:id="11" w:name="_Toc46319730"/>
      <w:r w:rsidRPr="00A36839">
        <w:t>The second year deal</w:t>
      </w:r>
      <w:bookmarkEnd w:id="10"/>
      <w:bookmarkEnd w:id="11"/>
    </w:p>
    <w:p w14:paraId="5606E987" w14:textId="77777777" w:rsidR="00A36839" w:rsidRPr="00A36839" w:rsidRDefault="00E57697" w:rsidP="00834651">
      <w:pPr>
        <w:rPr>
          <w:rFonts w:ascii="Times" w:hAnsi="Times"/>
          <w:sz w:val="24"/>
          <w:szCs w:val="24"/>
        </w:rPr>
      </w:pPr>
      <w:r w:rsidRPr="00A36839">
        <w:rPr>
          <w:rFonts w:ascii="Times" w:hAnsi="Times"/>
          <w:sz w:val="24"/>
          <w:szCs w:val="24"/>
        </w:rPr>
        <w:t xml:space="preserve">Horticultural employers want </w:t>
      </w:r>
      <w:r w:rsidR="00834651" w:rsidRPr="00A36839">
        <w:rPr>
          <w:rFonts w:ascii="Times" w:hAnsi="Times"/>
          <w:sz w:val="24"/>
          <w:szCs w:val="24"/>
        </w:rPr>
        <w:t xml:space="preserve">a workforce tied to their industry. This is what </w:t>
      </w:r>
      <w:r w:rsidR="00EE2145" w:rsidRPr="00A36839">
        <w:rPr>
          <w:rFonts w:ascii="Times" w:hAnsi="Times"/>
          <w:sz w:val="24"/>
          <w:szCs w:val="24"/>
        </w:rPr>
        <w:t xml:space="preserve">the two year visa option has delivered. </w:t>
      </w:r>
      <w:r w:rsidRPr="00A36839">
        <w:rPr>
          <w:rFonts w:ascii="Times" w:hAnsi="Times"/>
          <w:sz w:val="24"/>
          <w:szCs w:val="24"/>
        </w:rPr>
        <w:t>Most of those</w:t>
      </w:r>
      <w:r w:rsidR="00EE2145" w:rsidRPr="00A36839">
        <w:rPr>
          <w:rFonts w:ascii="Times" w:hAnsi="Times"/>
          <w:sz w:val="24"/>
          <w:szCs w:val="24"/>
        </w:rPr>
        <w:t xml:space="preserve"> taking up the option have to have worked in the industry</w:t>
      </w:r>
      <w:r w:rsidR="00834651" w:rsidRPr="00A36839">
        <w:rPr>
          <w:rFonts w:ascii="Times" w:hAnsi="Times"/>
          <w:sz w:val="24"/>
          <w:szCs w:val="24"/>
        </w:rPr>
        <w:t>. Most arrive in Australia with little money (they are only required to possess $5,000 and the price of a return air fare). They have no access to Australian welfare benefits (including unemployment benefits) or to Medicare.</w:t>
      </w:r>
    </w:p>
    <w:p w14:paraId="5BDC21ED" w14:textId="77777777" w:rsidR="00A36839" w:rsidRPr="00A36839" w:rsidRDefault="00834651" w:rsidP="008C71CC">
      <w:pPr>
        <w:rPr>
          <w:rFonts w:ascii="Times" w:hAnsi="Times"/>
          <w:sz w:val="24"/>
          <w:szCs w:val="24"/>
        </w:rPr>
      </w:pPr>
      <w:r w:rsidRPr="00A36839">
        <w:rPr>
          <w:rFonts w:ascii="Times" w:hAnsi="Times"/>
          <w:sz w:val="24"/>
          <w:szCs w:val="24"/>
        </w:rPr>
        <w:t>Ye</w:t>
      </w:r>
      <w:r w:rsidR="00E57697" w:rsidRPr="00A36839">
        <w:rPr>
          <w:rFonts w:ascii="Times" w:hAnsi="Times"/>
          <w:sz w:val="24"/>
          <w:szCs w:val="24"/>
        </w:rPr>
        <w:t>t</w:t>
      </w:r>
      <w:r w:rsidRPr="00A36839">
        <w:rPr>
          <w:rFonts w:ascii="Times" w:hAnsi="Times"/>
          <w:sz w:val="24"/>
          <w:szCs w:val="24"/>
        </w:rPr>
        <w:t xml:space="preserve">, they have no guarantee that horticultural work will be available. </w:t>
      </w:r>
      <w:r w:rsidR="005F5F65" w:rsidRPr="00A36839">
        <w:rPr>
          <w:rFonts w:ascii="Times" w:hAnsi="Times"/>
          <w:sz w:val="24"/>
          <w:szCs w:val="24"/>
        </w:rPr>
        <w:t xml:space="preserve">When seeking the required </w:t>
      </w:r>
      <w:r w:rsidR="005A5480" w:rsidRPr="00A36839">
        <w:rPr>
          <w:rFonts w:ascii="Times" w:hAnsi="Times"/>
          <w:sz w:val="24"/>
          <w:szCs w:val="24"/>
        </w:rPr>
        <w:t xml:space="preserve">88 days they </w:t>
      </w:r>
      <w:r w:rsidRPr="00A36839">
        <w:rPr>
          <w:rFonts w:ascii="Times" w:hAnsi="Times"/>
          <w:sz w:val="24"/>
          <w:szCs w:val="24"/>
        </w:rPr>
        <w:t xml:space="preserve">have to compete with other potential labour sources. They </w:t>
      </w:r>
      <w:r w:rsidR="005A5480" w:rsidRPr="00A36839">
        <w:rPr>
          <w:rFonts w:ascii="Times" w:hAnsi="Times"/>
          <w:sz w:val="24"/>
          <w:szCs w:val="24"/>
        </w:rPr>
        <w:t xml:space="preserve">are under </w:t>
      </w:r>
      <w:r w:rsidR="005A5480" w:rsidRPr="00A36839">
        <w:rPr>
          <w:rFonts w:ascii="Times" w:hAnsi="Times"/>
          <w:sz w:val="24"/>
          <w:szCs w:val="24"/>
        </w:rPr>
        <w:lastRenderedPageBreak/>
        <w:t xml:space="preserve">pressure </w:t>
      </w:r>
      <w:r w:rsidRPr="00A36839">
        <w:rPr>
          <w:rFonts w:ascii="Times" w:hAnsi="Times"/>
          <w:sz w:val="24"/>
          <w:szCs w:val="24"/>
        </w:rPr>
        <w:t>to accept the pay and conditions growers offer. As a consequence, they are vulnerable to exploitation. It seems from the evidence (cited below) that these conditions have deteriorated, at least relative to what is offered in most other industries</w:t>
      </w:r>
      <w:r w:rsidR="00E57697" w:rsidRPr="00A36839">
        <w:rPr>
          <w:rFonts w:ascii="Times" w:hAnsi="Times"/>
          <w:sz w:val="24"/>
          <w:szCs w:val="24"/>
        </w:rPr>
        <w:t>, especially those located in metropolitan centres</w:t>
      </w:r>
      <w:r w:rsidRPr="00A36839">
        <w:rPr>
          <w:rFonts w:ascii="Times" w:hAnsi="Times"/>
          <w:sz w:val="24"/>
          <w:szCs w:val="24"/>
        </w:rPr>
        <w:t>.</w:t>
      </w:r>
    </w:p>
    <w:p w14:paraId="705B5179" w14:textId="77777777" w:rsidR="00A36839" w:rsidRPr="00A36839" w:rsidRDefault="00E57697" w:rsidP="008C71CC">
      <w:pPr>
        <w:rPr>
          <w:rFonts w:ascii="Times" w:hAnsi="Times"/>
          <w:sz w:val="24"/>
          <w:szCs w:val="24"/>
        </w:rPr>
      </w:pPr>
      <w:r w:rsidRPr="00A36839">
        <w:rPr>
          <w:rFonts w:ascii="Times" w:hAnsi="Times"/>
          <w:sz w:val="24"/>
          <w:szCs w:val="24"/>
        </w:rPr>
        <w:t xml:space="preserve">Remember that the great majority of 417 visa holders come from high wage </w:t>
      </w:r>
      <w:r w:rsidR="005A5480" w:rsidRPr="00A36839">
        <w:rPr>
          <w:rFonts w:ascii="Times" w:hAnsi="Times"/>
          <w:sz w:val="24"/>
          <w:szCs w:val="24"/>
        </w:rPr>
        <w:t xml:space="preserve">European </w:t>
      </w:r>
      <w:r w:rsidRPr="00A36839">
        <w:rPr>
          <w:rFonts w:ascii="Times" w:hAnsi="Times"/>
          <w:sz w:val="24"/>
          <w:szCs w:val="24"/>
        </w:rPr>
        <w:t>countries, most of wh</w:t>
      </w:r>
      <w:r w:rsidR="005A5480" w:rsidRPr="00A36839">
        <w:rPr>
          <w:rFonts w:ascii="Times" w:hAnsi="Times"/>
          <w:sz w:val="24"/>
          <w:szCs w:val="24"/>
        </w:rPr>
        <w:t xml:space="preserve">ich </w:t>
      </w:r>
      <w:r w:rsidRPr="00A36839">
        <w:rPr>
          <w:rFonts w:ascii="Times" w:hAnsi="Times"/>
          <w:sz w:val="24"/>
          <w:szCs w:val="24"/>
        </w:rPr>
        <w:t>have recovered from the pit of the post-GFC recession.</w:t>
      </w:r>
    </w:p>
    <w:p w14:paraId="23B4C340" w14:textId="77777777" w:rsidR="00A36839" w:rsidRPr="00A36839" w:rsidRDefault="005A5480" w:rsidP="008C71CC">
      <w:pPr>
        <w:rPr>
          <w:rFonts w:ascii="Times" w:hAnsi="Times"/>
          <w:sz w:val="24"/>
          <w:szCs w:val="24"/>
        </w:rPr>
      </w:pPr>
      <w:r w:rsidRPr="00A36839">
        <w:rPr>
          <w:rFonts w:ascii="Times" w:hAnsi="Times"/>
          <w:sz w:val="24"/>
          <w:szCs w:val="24"/>
        </w:rPr>
        <w:t>They are unlikely to be attracted by the pay and working conditions offered in the horticulture industry, especially given that (until recently) much more attractive work has been available in Australia’s metropolitan centres.</w:t>
      </w:r>
    </w:p>
    <w:p w14:paraId="3DAB5104" w14:textId="77777777" w:rsidR="00A36839" w:rsidRPr="00A36839" w:rsidRDefault="00E57697" w:rsidP="008C71CC">
      <w:pPr>
        <w:rPr>
          <w:rFonts w:ascii="Times" w:hAnsi="Times"/>
          <w:sz w:val="24"/>
          <w:szCs w:val="24"/>
        </w:rPr>
      </w:pPr>
      <w:r w:rsidRPr="00A36839">
        <w:rPr>
          <w:rFonts w:ascii="Times" w:hAnsi="Times"/>
          <w:sz w:val="24"/>
          <w:szCs w:val="24"/>
        </w:rPr>
        <w:t>If they are intent on staying longer than one year in Australia, as I explain below</w:t>
      </w:r>
      <w:r w:rsidR="005A5480" w:rsidRPr="00A36839">
        <w:rPr>
          <w:rFonts w:ascii="Times" w:hAnsi="Times"/>
          <w:sz w:val="24"/>
          <w:szCs w:val="24"/>
        </w:rPr>
        <w:t xml:space="preserve">, </w:t>
      </w:r>
      <w:r w:rsidRPr="00A36839">
        <w:rPr>
          <w:rFonts w:ascii="Times" w:hAnsi="Times"/>
          <w:sz w:val="24"/>
          <w:szCs w:val="24"/>
        </w:rPr>
        <w:t>there are other options</w:t>
      </w:r>
      <w:r w:rsidR="005A5480" w:rsidRPr="00A36839">
        <w:rPr>
          <w:rFonts w:ascii="Times" w:hAnsi="Times"/>
          <w:sz w:val="24"/>
          <w:szCs w:val="24"/>
        </w:rPr>
        <w:t>. They can readily move from a WHM visa to some other temporary migrant visa</w:t>
      </w:r>
      <w:r w:rsidRPr="00A36839">
        <w:rPr>
          <w:rFonts w:ascii="Times" w:hAnsi="Times"/>
          <w:sz w:val="24"/>
          <w:szCs w:val="24"/>
        </w:rPr>
        <w:t>.</w:t>
      </w:r>
    </w:p>
    <w:p w14:paraId="41B3020F" w14:textId="77777777" w:rsidR="00A36839" w:rsidRPr="00A36839" w:rsidRDefault="00E57697" w:rsidP="00834651">
      <w:pPr>
        <w:rPr>
          <w:rFonts w:ascii="Times" w:hAnsi="Times"/>
          <w:sz w:val="24"/>
          <w:szCs w:val="24"/>
        </w:rPr>
      </w:pPr>
      <w:r w:rsidRPr="00A36839">
        <w:rPr>
          <w:rFonts w:ascii="Times" w:hAnsi="Times"/>
          <w:sz w:val="24"/>
          <w:szCs w:val="24"/>
        </w:rPr>
        <w:t>What about the Work and Holiday visa program? The recipients are being drawn from relatively low wage Asian and South American countries. However, t</w:t>
      </w:r>
      <w:r w:rsidR="00834651" w:rsidRPr="00A36839">
        <w:rPr>
          <w:rFonts w:ascii="Times" w:hAnsi="Times"/>
          <w:sz w:val="24"/>
          <w:szCs w:val="24"/>
        </w:rPr>
        <w:t xml:space="preserve">hey have to have at least two years university experience </w:t>
      </w:r>
      <w:r w:rsidR="00EE2145" w:rsidRPr="00A36839">
        <w:rPr>
          <w:rFonts w:ascii="Times" w:hAnsi="Times"/>
          <w:sz w:val="24"/>
          <w:szCs w:val="24"/>
        </w:rPr>
        <w:t>(or equivalent)</w:t>
      </w:r>
      <w:r w:rsidRPr="00A36839">
        <w:rPr>
          <w:rFonts w:ascii="Times" w:hAnsi="Times"/>
          <w:sz w:val="24"/>
          <w:szCs w:val="24"/>
        </w:rPr>
        <w:t xml:space="preserve">. There is also an English language requirement, though set at the very low level of </w:t>
      </w:r>
      <w:r w:rsidR="005A5480" w:rsidRPr="00A36839">
        <w:rPr>
          <w:rFonts w:ascii="Times" w:hAnsi="Times"/>
          <w:sz w:val="24"/>
          <w:szCs w:val="24"/>
        </w:rPr>
        <w:t>F</w:t>
      </w:r>
      <w:r w:rsidRPr="00A36839">
        <w:rPr>
          <w:rFonts w:ascii="Times" w:hAnsi="Times"/>
          <w:sz w:val="24"/>
          <w:szCs w:val="24"/>
        </w:rPr>
        <w:t>unctional English</w:t>
      </w:r>
      <w:r w:rsidR="005A5480" w:rsidRPr="00A36839">
        <w:rPr>
          <w:rFonts w:ascii="Times" w:hAnsi="Times"/>
          <w:sz w:val="24"/>
          <w:szCs w:val="24"/>
        </w:rPr>
        <w:t xml:space="preserve">. This </w:t>
      </w:r>
      <w:r w:rsidRPr="00A36839">
        <w:rPr>
          <w:rFonts w:ascii="Times" w:hAnsi="Times"/>
          <w:sz w:val="24"/>
          <w:szCs w:val="24"/>
        </w:rPr>
        <w:t xml:space="preserve">requires an average of 4.5 on the four components tested under the IELTS test. This is </w:t>
      </w:r>
      <w:r w:rsidR="005A5480" w:rsidRPr="00A36839">
        <w:rPr>
          <w:rFonts w:ascii="Times" w:hAnsi="Times"/>
          <w:sz w:val="24"/>
          <w:szCs w:val="24"/>
        </w:rPr>
        <w:t>equivalent to rudimentary conversational level.</w:t>
      </w:r>
    </w:p>
    <w:p w14:paraId="68AF96CB" w14:textId="77777777" w:rsidR="00A36839" w:rsidRPr="00A36839" w:rsidRDefault="00E57697" w:rsidP="00834651">
      <w:pPr>
        <w:rPr>
          <w:rFonts w:ascii="Times" w:hAnsi="Times"/>
          <w:sz w:val="24"/>
          <w:szCs w:val="24"/>
        </w:rPr>
      </w:pPr>
      <w:r w:rsidRPr="00A36839">
        <w:rPr>
          <w:rFonts w:ascii="Times" w:hAnsi="Times"/>
          <w:sz w:val="24"/>
          <w:szCs w:val="24"/>
        </w:rPr>
        <w:t>Those with little English are the most vulnerable to exploitation from labour hire companies (because it is harder for them to negotiate the Australian labour market). Labour hire companies appear to be providing direct access to horticultural work (and some other low skill employment</w:t>
      </w:r>
      <w:r w:rsidR="005A5480" w:rsidRPr="00A36839">
        <w:rPr>
          <w:rFonts w:ascii="Times" w:hAnsi="Times"/>
          <w:sz w:val="24"/>
          <w:szCs w:val="24"/>
        </w:rPr>
        <w:t>,</w:t>
      </w:r>
      <w:r w:rsidRPr="00A36839">
        <w:rPr>
          <w:rFonts w:ascii="Times" w:hAnsi="Times"/>
          <w:sz w:val="24"/>
          <w:szCs w:val="24"/>
        </w:rPr>
        <w:t xml:space="preserve"> as in abattoirs)</w:t>
      </w:r>
      <w:r w:rsidR="005A5480" w:rsidRPr="00A36839">
        <w:rPr>
          <w:rFonts w:ascii="Times" w:hAnsi="Times"/>
          <w:sz w:val="24"/>
          <w:szCs w:val="24"/>
        </w:rPr>
        <w:t xml:space="preserve">. These companies also frequently provide </w:t>
      </w:r>
      <w:r w:rsidRPr="00A36839">
        <w:rPr>
          <w:rFonts w:ascii="Times" w:hAnsi="Times"/>
          <w:sz w:val="24"/>
          <w:szCs w:val="24"/>
        </w:rPr>
        <w:t>transport and accommodation.</w:t>
      </w:r>
    </w:p>
    <w:p w14:paraId="2979A0B1" w14:textId="77777777" w:rsidR="00A36839" w:rsidRPr="00A36839" w:rsidRDefault="00E57697" w:rsidP="00834651">
      <w:pPr>
        <w:rPr>
          <w:rFonts w:ascii="Times" w:hAnsi="Times"/>
          <w:sz w:val="24"/>
          <w:szCs w:val="24"/>
        </w:rPr>
      </w:pPr>
      <w:r w:rsidRPr="00A36839">
        <w:rPr>
          <w:rFonts w:ascii="Times" w:hAnsi="Times"/>
          <w:sz w:val="24"/>
          <w:szCs w:val="24"/>
        </w:rPr>
        <w:t xml:space="preserve">Nevertheless, as noted, only around 27 per cent of 462 visa holders are taking up the second year option. </w:t>
      </w:r>
      <w:r w:rsidR="00834651" w:rsidRPr="00A36839">
        <w:rPr>
          <w:rFonts w:ascii="Times" w:hAnsi="Times"/>
          <w:sz w:val="24"/>
          <w:szCs w:val="24"/>
        </w:rPr>
        <w:t>Holders of 462 visas, like their 417 counterparts, clearly prefer a metropolitan location where, until the Co</w:t>
      </w:r>
      <w:r w:rsidR="005A5480" w:rsidRPr="00A36839">
        <w:rPr>
          <w:rFonts w:ascii="Times" w:hAnsi="Times"/>
          <w:sz w:val="24"/>
          <w:szCs w:val="24"/>
        </w:rPr>
        <w:t xml:space="preserve">vid-19 </w:t>
      </w:r>
      <w:r w:rsidR="00834651" w:rsidRPr="00A36839">
        <w:rPr>
          <w:rFonts w:ascii="Times" w:hAnsi="Times"/>
          <w:sz w:val="24"/>
          <w:szCs w:val="24"/>
        </w:rPr>
        <w:t>crisis, there were plenty of jobs available in hospitality, retail and the like.</w:t>
      </w:r>
    </w:p>
    <w:p w14:paraId="0AF145C1" w14:textId="77777777" w:rsidR="00A36839" w:rsidRPr="00A36839" w:rsidRDefault="00E57697" w:rsidP="008C71CC">
      <w:pPr>
        <w:rPr>
          <w:rFonts w:ascii="Times" w:hAnsi="Times"/>
          <w:sz w:val="24"/>
          <w:szCs w:val="24"/>
        </w:rPr>
      </w:pPr>
      <w:r w:rsidRPr="00A36839">
        <w:rPr>
          <w:rFonts w:ascii="Times" w:hAnsi="Times"/>
          <w:sz w:val="24"/>
          <w:szCs w:val="24"/>
        </w:rPr>
        <w:t xml:space="preserve">The bottom line here is that by </w:t>
      </w:r>
      <w:r w:rsidR="00834651" w:rsidRPr="00A36839">
        <w:rPr>
          <w:rFonts w:ascii="Times" w:hAnsi="Times"/>
          <w:sz w:val="24"/>
          <w:szCs w:val="24"/>
        </w:rPr>
        <w:t xml:space="preserve">2018-19 </w:t>
      </w:r>
      <w:r w:rsidRPr="00A36839">
        <w:rPr>
          <w:rFonts w:ascii="Times" w:hAnsi="Times"/>
          <w:sz w:val="24"/>
          <w:szCs w:val="24"/>
        </w:rPr>
        <w:t xml:space="preserve">there was a total of </w:t>
      </w:r>
      <w:r w:rsidR="00834651" w:rsidRPr="00A36839">
        <w:rPr>
          <w:rFonts w:ascii="Times" w:hAnsi="Times"/>
          <w:sz w:val="24"/>
          <w:szCs w:val="24"/>
        </w:rPr>
        <w:t>43,219 second year 417 and 462 visa holders</w:t>
      </w:r>
      <w:r w:rsidRPr="00A36839">
        <w:rPr>
          <w:rFonts w:ascii="Times" w:hAnsi="Times"/>
          <w:sz w:val="24"/>
          <w:szCs w:val="24"/>
        </w:rPr>
        <w:t xml:space="preserve">. Assuming near </w:t>
      </w:r>
      <w:r w:rsidR="005A5480" w:rsidRPr="00A36839">
        <w:rPr>
          <w:rFonts w:ascii="Times" w:hAnsi="Times"/>
          <w:sz w:val="24"/>
          <w:szCs w:val="24"/>
        </w:rPr>
        <w:t>78</w:t>
      </w:r>
      <w:r w:rsidR="00834651" w:rsidRPr="00A36839">
        <w:rPr>
          <w:rFonts w:ascii="Times" w:hAnsi="Times"/>
          <w:sz w:val="24"/>
          <w:szCs w:val="24"/>
        </w:rPr>
        <w:t xml:space="preserve"> per cent worked in horticulture</w:t>
      </w:r>
      <w:r w:rsidR="00EE2145" w:rsidRPr="00A36839">
        <w:rPr>
          <w:rFonts w:ascii="Times" w:hAnsi="Times"/>
          <w:sz w:val="24"/>
          <w:szCs w:val="24"/>
        </w:rPr>
        <w:t>,</w:t>
      </w:r>
      <w:r w:rsidR="00834651" w:rsidRPr="00A36839">
        <w:rPr>
          <w:rFonts w:ascii="Times" w:hAnsi="Times"/>
          <w:sz w:val="24"/>
          <w:szCs w:val="24"/>
        </w:rPr>
        <w:t xml:space="preserve"> this amounts to </w:t>
      </w:r>
      <w:r w:rsidR="005A5480" w:rsidRPr="00A36839">
        <w:rPr>
          <w:rFonts w:ascii="Times" w:hAnsi="Times"/>
          <w:sz w:val="24"/>
          <w:szCs w:val="24"/>
        </w:rPr>
        <w:t>near 34,</w:t>
      </w:r>
      <w:r w:rsidR="00834651" w:rsidRPr="00A36839">
        <w:rPr>
          <w:rFonts w:ascii="Times" w:hAnsi="Times"/>
          <w:sz w:val="24"/>
          <w:szCs w:val="24"/>
        </w:rPr>
        <w:t>00</w:t>
      </w:r>
      <w:r w:rsidR="005A5480" w:rsidRPr="00A36839">
        <w:rPr>
          <w:rFonts w:ascii="Times" w:hAnsi="Times"/>
          <w:sz w:val="24"/>
          <w:szCs w:val="24"/>
        </w:rPr>
        <w:t>0</w:t>
      </w:r>
      <w:r w:rsidR="00834651" w:rsidRPr="00A36839">
        <w:rPr>
          <w:rFonts w:ascii="Times" w:hAnsi="Times"/>
          <w:sz w:val="24"/>
          <w:szCs w:val="24"/>
        </w:rPr>
        <w:t xml:space="preserve"> </w:t>
      </w:r>
      <w:r w:rsidR="005A5480" w:rsidRPr="00A36839">
        <w:rPr>
          <w:rFonts w:ascii="Times" w:hAnsi="Times"/>
          <w:sz w:val="24"/>
          <w:szCs w:val="24"/>
        </w:rPr>
        <w:t>who have worked in horticulture.</w:t>
      </w:r>
      <w:r w:rsidR="00A36839" w:rsidRPr="00A36839">
        <w:rPr>
          <w:rFonts w:ascii="Times" w:hAnsi="Times"/>
          <w:sz w:val="24"/>
          <w:szCs w:val="24"/>
        </w:rPr>
        <w:t xml:space="preserve"> </w:t>
      </w:r>
      <w:r w:rsidRPr="00A36839">
        <w:rPr>
          <w:rFonts w:ascii="Times" w:hAnsi="Times"/>
          <w:sz w:val="24"/>
          <w:szCs w:val="24"/>
        </w:rPr>
        <w:t>This is well short of the ‘backbone’ characterisation noted above.</w:t>
      </w:r>
    </w:p>
    <w:p w14:paraId="5BD184C8" w14:textId="77777777" w:rsidR="00A36839" w:rsidRPr="00A36839" w:rsidRDefault="00E57697" w:rsidP="008C71CC">
      <w:pPr>
        <w:rPr>
          <w:rFonts w:ascii="Times" w:hAnsi="Times"/>
          <w:sz w:val="24"/>
          <w:szCs w:val="24"/>
        </w:rPr>
      </w:pPr>
      <w:r w:rsidRPr="00A36839">
        <w:rPr>
          <w:rFonts w:ascii="Times" w:hAnsi="Times"/>
          <w:sz w:val="24"/>
          <w:szCs w:val="24"/>
        </w:rPr>
        <w:t>Even more to the point</w:t>
      </w:r>
      <w:r w:rsidR="005A5480" w:rsidRPr="00A36839">
        <w:rPr>
          <w:rFonts w:ascii="Times" w:hAnsi="Times"/>
          <w:sz w:val="24"/>
          <w:szCs w:val="24"/>
        </w:rPr>
        <w:t>,</w:t>
      </w:r>
      <w:r w:rsidRPr="00A36839">
        <w:rPr>
          <w:rFonts w:ascii="Times" w:hAnsi="Times"/>
          <w:sz w:val="24"/>
          <w:szCs w:val="24"/>
        </w:rPr>
        <w:t xml:space="preserve"> the total number of those holding second year 471 and 462 visas</w:t>
      </w:r>
      <w:r w:rsidR="005A5480" w:rsidRPr="00A36839">
        <w:rPr>
          <w:rFonts w:ascii="Times" w:hAnsi="Times"/>
          <w:sz w:val="24"/>
          <w:szCs w:val="24"/>
        </w:rPr>
        <w:t xml:space="preserve"> by 2018-19 (43,219) was </w:t>
      </w:r>
      <w:r w:rsidRPr="00A36839">
        <w:rPr>
          <w:rFonts w:ascii="Times" w:hAnsi="Times"/>
          <w:sz w:val="24"/>
          <w:szCs w:val="24"/>
        </w:rPr>
        <w:t xml:space="preserve">actually a bit less than </w:t>
      </w:r>
      <w:r w:rsidR="005A5480" w:rsidRPr="00A36839">
        <w:rPr>
          <w:rFonts w:ascii="Times" w:hAnsi="Times"/>
          <w:sz w:val="24"/>
          <w:szCs w:val="24"/>
        </w:rPr>
        <w:t xml:space="preserve">in </w:t>
      </w:r>
      <w:r w:rsidRPr="00A36839">
        <w:rPr>
          <w:rFonts w:ascii="Times" w:hAnsi="Times"/>
          <w:sz w:val="24"/>
          <w:szCs w:val="24"/>
        </w:rPr>
        <w:t xml:space="preserve">the peak year of 2013-14, when 45,950 </w:t>
      </w:r>
      <w:r w:rsidR="005A5480" w:rsidRPr="00A36839">
        <w:rPr>
          <w:rFonts w:ascii="Times" w:hAnsi="Times"/>
          <w:sz w:val="24"/>
          <w:szCs w:val="24"/>
        </w:rPr>
        <w:t xml:space="preserve">second visa </w:t>
      </w:r>
      <w:r w:rsidRPr="00A36839">
        <w:rPr>
          <w:rFonts w:ascii="Times" w:hAnsi="Times"/>
          <w:sz w:val="24"/>
          <w:szCs w:val="24"/>
        </w:rPr>
        <w:t>grants were made.</w:t>
      </w:r>
      <w:r w:rsidRPr="00A36839">
        <w:rPr>
          <w:rStyle w:val="EndnoteReference"/>
          <w:rFonts w:ascii="Times" w:hAnsi="Times"/>
          <w:sz w:val="24"/>
          <w:szCs w:val="24"/>
        </w:rPr>
        <w:endnoteReference w:id="11"/>
      </w:r>
      <w:r w:rsidRPr="00A36839">
        <w:rPr>
          <w:rFonts w:ascii="Times" w:hAnsi="Times"/>
          <w:sz w:val="24"/>
          <w:szCs w:val="24"/>
        </w:rPr>
        <w:t xml:space="preserve"> </w:t>
      </w:r>
      <w:r w:rsidR="005A5480" w:rsidRPr="00A36839">
        <w:rPr>
          <w:rFonts w:ascii="Times" w:hAnsi="Times"/>
          <w:sz w:val="24"/>
          <w:szCs w:val="24"/>
        </w:rPr>
        <w:t xml:space="preserve">Moreover, this </w:t>
      </w:r>
      <w:r w:rsidRPr="00A36839">
        <w:rPr>
          <w:rFonts w:ascii="Times" w:hAnsi="Times"/>
          <w:sz w:val="24"/>
          <w:szCs w:val="24"/>
        </w:rPr>
        <w:t>peak year predated the opening up the second year option to 462 visa holders</w:t>
      </w:r>
      <w:r w:rsidR="005A5480" w:rsidRPr="00A36839">
        <w:rPr>
          <w:rFonts w:ascii="Times" w:hAnsi="Times"/>
          <w:sz w:val="24"/>
          <w:szCs w:val="24"/>
        </w:rPr>
        <w:t>,</w:t>
      </w:r>
      <w:r w:rsidRPr="00A36839">
        <w:rPr>
          <w:rFonts w:ascii="Times" w:hAnsi="Times"/>
          <w:sz w:val="24"/>
          <w:szCs w:val="24"/>
        </w:rPr>
        <w:t xml:space="preserve"> which began in 2016.</w:t>
      </w:r>
    </w:p>
    <w:p w14:paraId="186CB530" w14:textId="77777777" w:rsidR="00A36839" w:rsidRPr="00A36839" w:rsidRDefault="00FA747A" w:rsidP="003D4D0F">
      <w:pPr>
        <w:rPr>
          <w:rFonts w:ascii="Times" w:hAnsi="Times"/>
          <w:sz w:val="24"/>
          <w:szCs w:val="24"/>
        </w:rPr>
      </w:pPr>
      <w:r w:rsidRPr="00A36839">
        <w:rPr>
          <w:rFonts w:ascii="Times" w:hAnsi="Times"/>
          <w:sz w:val="24"/>
          <w:szCs w:val="24"/>
        </w:rPr>
        <w:t xml:space="preserve">True, an </w:t>
      </w:r>
      <w:r w:rsidR="003D4D0F" w:rsidRPr="00A36839">
        <w:rPr>
          <w:rFonts w:ascii="Times" w:hAnsi="Times"/>
          <w:sz w:val="24"/>
          <w:szCs w:val="24"/>
        </w:rPr>
        <w:t xml:space="preserve">unknown </w:t>
      </w:r>
      <w:r w:rsidR="00060FDE" w:rsidRPr="00A36839">
        <w:rPr>
          <w:rFonts w:ascii="Times" w:hAnsi="Times"/>
          <w:sz w:val="24"/>
          <w:szCs w:val="24"/>
        </w:rPr>
        <w:t xml:space="preserve">number </w:t>
      </w:r>
      <w:r w:rsidR="003D4D0F" w:rsidRPr="00A36839">
        <w:rPr>
          <w:rFonts w:ascii="Times" w:hAnsi="Times"/>
          <w:sz w:val="24"/>
          <w:szCs w:val="24"/>
        </w:rPr>
        <w:t xml:space="preserve">of other first </w:t>
      </w:r>
      <w:r w:rsidR="0058228A" w:rsidRPr="00A36839">
        <w:rPr>
          <w:rFonts w:ascii="Times" w:hAnsi="Times"/>
          <w:sz w:val="24"/>
          <w:szCs w:val="24"/>
        </w:rPr>
        <w:t xml:space="preserve">417 and 462 visa holders </w:t>
      </w:r>
      <w:r w:rsidR="003D4D0F" w:rsidRPr="00A36839">
        <w:rPr>
          <w:rFonts w:ascii="Times" w:hAnsi="Times"/>
          <w:sz w:val="24"/>
          <w:szCs w:val="24"/>
        </w:rPr>
        <w:t xml:space="preserve">would have worked in agriculture. </w:t>
      </w:r>
      <w:r w:rsidRPr="00A36839">
        <w:rPr>
          <w:rFonts w:ascii="Times" w:hAnsi="Times"/>
          <w:sz w:val="24"/>
          <w:szCs w:val="24"/>
        </w:rPr>
        <w:t>But</w:t>
      </w:r>
      <w:r w:rsidR="00834651" w:rsidRPr="00A36839">
        <w:rPr>
          <w:rFonts w:ascii="Times" w:hAnsi="Times"/>
          <w:sz w:val="24"/>
          <w:szCs w:val="24"/>
        </w:rPr>
        <w:t>,</w:t>
      </w:r>
      <w:r w:rsidRPr="00A36839">
        <w:rPr>
          <w:rFonts w:ascii="Times" w:hAnsi="Times"/>
          <w:sz w:val="24"/>
          <w:szCs w:val="24"/>
        </w:rPr>
        <w:t xml:space="preserve"> </w:t>
      </w:r>
      <w:r w:rsidR="0058228A" w:rsidRPr="00A36839">
        <w:rPr>
          <w:rFonts w:ascii="Times" w:hAnsi="Times"/>
          <w:sz w:val="24"/>
          <w:szCs w:val="24"/>
        </w:rPr>
        <w:t>a</w:t>
      </w:r>
      <w:r w:rsidR="00834651" w:rsidRPr="00A36839">
        <w:rPr>
          <w:rFonts w:ascii="Times" w:hAnsi="Times"/>
          <w:sz w:val="24"/>
          <w:szCs w:val="24"/>
        </w:rPr>
        <w:t>s</w:t>
      </w:r>
      <w:r w:rsidR="0058228A" w:rsidRPr="00A36839">
        <w:rPr>
          <w:rFonts w:ascii="Times" w:hAnsi="Times"/>
          <w:sz w:val="24"/>
          <w:szCs w:val="24"/>
        </w:rPr>
        <w:t xml:space="preserve"> indicated</w:t>
      </w:r>
      <w:r w:rsidR="00834651" w:rsidRPr="00A36839">
        <w:rPr>
          <w:rFonts w:ascii="Times" w:hAnsi="Times"/>
          <w:sz w:val="24"/>
          <w:szCs w:val="24"/>
        </w:rPr>
        <w:t xml:space="preserve">, these visa holders have (until Corvid-19) had lots of other (preferable) work options open in </w:t>
      </w:r>
      <w:r w:rsidR="0058228A" w:rsidRPr="00A36839">
        <w:rPr>
          <w:rFonts w:ascii="Times" w:hAnsi="Times"/>
          <w:sz w:val="24"/>
          <w:szCs w:val="24"/>
        </w:rPr>
        <w:t>Australia’s major cities.</w:t>
      </w:r>
    </w:p>
    <w:p w14:paraId="36C834D6" w14:textId="77777777" w:rsidR="00F55983" w:rsidRPr="00A36839" w:rsidRDefault="00F55983" w:rsidP="003D4D0F">
      <w:pPr>
        <w:rPr>
          <w:rFonts w:ascii="Times" w:hAnsi="Times"/>
          <w:b/>
          <w:sz w:val="24"/>
          <w:szCs w:val="24"/>
        </w:rPr>
      </w:pPr>
    </w:p>
    <w:p w14:paraId="503BFF4D" w14:textId="7F860AA3" w:rsidR="00B66DD5" w:rsidRPr="00A36839" w:rsidRDefault="000F423D" w:rsidP="00423878">
      <w:pPr>
        <w:keepNext/>
        <w:rPr>
          <w:rFonts w:ascii="Times" w:hAnsi="Times"/>
          <w:b/>
          <w:sz w:val="24"/>
          <w:szCs w:val="24"/>
        </w:rPr>
      </w:pPr>
      <w:r w:rsidRPr="00A36839">
        <w:rPr>
          <w:rFonts w:ascii="Times" w:hAnsi="Times"/>
          <w:b/>
          <w:sz w:val="24"/>
          <w:szCs w:val="24"/>
        </w:rPr>
        <w:lastRenderedPageBreak/>
        <w:t>Table 1: Working Holiday Maker visas granted</w:t>
      </w:r>
    </w:p>
    <w:tbl>
      <w:tblPr>
        <w:tblStyle w:val="TableGrid"/>
        <w:tblW w:w="0" w:type="auto"/>
        <w:tblLook w:val="04A0" w:firstRow="1" w:lastRow="0" w:firstColumn="1" w:lastColumn="0" w:noHBand="0" w:noVBand="1"/>
      </w:tblPr>
      <w:tblGrid>
        <w:gridCol w:w="1799"/>
        <w:gridCol w:w="1803"/>
        <w:gridCol w:w="1804"/>
        <w:gridCol w:w="1805"/>
        <w:gridCol w:w="1805"/>
      </w:tblGrid>
      <w:tr w:rsidR="001C23F7" w:rsidRPr="00A36839" w14:paraId="0F77CCA5" w14:textId="77777777" w:rsidTr="001C23F7">
        <w:tc>
          <w:tcPr>
            <w:tcW w:w="9242" w:type="dxa"/>
            <w:gridSpan w:val="5"/>
          </w:tcPr>
          <w:p w14:paraId="47F7FB7D" w14:textId="588C0E33" w:rsidR="001C23F7" w:rsidRPr="00A36839" w:rsidRDefault="001C23F7" w:rsidP="003D4D0F">
            <w:pPr>
              <w:rPr>
                <w:rFonts w:ascii="Times" w:hAnsi="Times"/>
                <w:sz w:val="24"/>
                <w:szCs w:val="24"/>
              </w:rPr>
            </w:pPr>
            <w:r w:rsidRPr="00A36839">
              <w:rPr>
                <w:rFonts w:ascii="Times" w:hAnsi="Times"/>
                <w:sz w:val="24"/>
                <w:szCs w:val="24"/>
              </w:rPr>
              <w:t>417 visas granted</w:t>
            </w:r>
            <w:r w:rsidR="00BF6E90" w:rsidRPr="00A36839">
              <w:rPr>
                <w:rFonts w:ascii="Times" w:hAnsi="Times"/>
                <w:sz w:val="24"/>
                <w:szCs w:val="24"/>
              </w:rPr>
              <w:t xml:space="preserve"> (WHM)</w:t>
            </w:r>
          </w:p>
        </w:tc>
      </w:tr>
      <w:tr w:rsidR="000F423D" w:rsidRPr="00A36839" w14:paraId="0ABE404F" w14:textId="77777777" w:rsidTr="000F423D">
        <w:tc>
          <w:tcPr>
            <w:tcW w:w="1848" w:type="dxa"/>
          </w:tcPr>
          <w:p w14:paraId="01F28E71" w14:textId="77777777" w:rsidR="000F423D" w:rsidRPr="00A36839" w:rsidRDefault="000F423D" w:rsidP="003D4D0F">
            <w:pPr>
              <w:rPr>
                <w:rFonts w:ascii="Times" w:hAnsi="Times"/>
                <w:sz w:val="24"/>
                <w:szCs w:val="24"/>
              </w:rPr>
            </w:pPr>
          </w:p>
        </w:tc>
        <w:tc>
          <w:tcPr>
            <w:tcW w:w="1848" w:type="dxa"/>
          </w:tcPr>
          <w:p w14:paraId="514F36E1" w14:textId="129D45D5" w:rsidR="000F423D" w:rsidRPr="00A36839" w:rsidRDefault="000F423D" w:rsidP="003D4D0F">
            <w:pPr>
              <w:rPr>
                <w:rFonts w:ascii="Times" w:hAnsi="Times"/>
                <w:sz w:val="24"/>
                <w:szCs w:val="24"/>
              </w:rPr>
            </w:pPr>
            <w:r w:rsidRPr="00A36839">
              <w:rPr>
                <w:rFonts w:ascii="Times" w:hAnsi="Times"/>
                <w:sz w:val="24"/>
                <w:szCs w:val="24"/>
              </w:rPr>
              <w:t>2015-16</w:t>
            </w:r>
          </w:p>
        </w:tc>
        <w:tc>
          <w:tcPr>
            <w:tcW w:w="1848" w:type="dxa"/>
          </w:tcPr>
          <w:p w14:paraId="66F9278F" w14:textId="368CC283" w:rsidR="000F423D" w:rsidRPr="00A36839" w:rsidRDefault="000F423D" w:rsidP="003D4D0F">
            <w:pPr>
              <w:rPr>
                <w:rFonts w:ascii="Times" w:hAnsi="Times"/>
                <w:sz w:val="24"/>
                <w:szCs w:val="24"/>
              </w:rPr>
            </w:pPr>
            <w:r w:rsidRPr="00A36839">
              <w:rPr>
                <w:rFonts w:ascii="Times" w:hAnsi="Times"/>
                <w:sz w:val="24"/>
                <w:szCs w:val="24"/>
              </w:rPr>
              <w:t>2016-17</w:t>
            </w:r>
          </w:p>
        </w:tc>
        <w:tc>
          <w:tcPr>
            <w:tcW w:w="1849" w:type="dxa"/>
          </w:tcPr>
          <w:p w14:paraId="7F6F9746" w14:textId="3C10AA74" w:rsidR="000F423D" w:rsidRPr="00A36839" w:rsidRDefault="000F423D" w:rsidP="003D4D0F">
            <w:pPr>
              <w:rPr>
                <w:rFonts w:ascii="Times" w:hAnsi="Times"/>
                <w:sz w:val="24"/>
                <w:szCs w:val="24"/>
              </w:rPr>
            </w:pPr>
            <w:r w:rsidRPr="00A36839">
              <w:rPr>
                <w:rFonts w:ascii="Times" w:hAnsi="Times"/>
                <w:sz w:val="24"/>
                <w:szCs w:val="24"/>
              </w:rPr>
              <w:t>2017-18</w:t>
            </w:r>
          </w:p>
        </w:tc>
        <w:tc>
          <w:tcPr>
            <w:tcW w:w="1849" w:type="dxa"/>
          </w:tcPr>
          <w:p w14:paraId="770B6212" w14:textId="2742785F" w:rsidR="000F423D" w:rsidRPr="00A36839" w:rsidRDefault="000F423D" w:rsidP="003D4D0F">
            <w:pPr>
              <w:rPr>
                <w:rFonts w:ascii="Times" w:hAnsi="Times"/>
                <w:sz w:val="24"/>
                <w:szCs w:val="24"/>
              </w:rPr>
            </w:pPr>
            <w:r w:rsidRPr="00A36839">
              <w:rPr>
                <w:rFonts w:ascii="Times" w:hAnsi="Times"/>
                <w:sz w:val="24"/>
                <w:szCs w:val="24"/>
              </w:rPr>
              <w:t>2018-19</w:t>
            </w:r>
          </w:p>
        </w:tc>
      </w:tr>
      <w:tr w:rsidR="000F423D" w:rsidRPr="00A36839" w14:paraId="166A9025" w14:textId="77777777" w:rsidTr="00671C68">
        <w:tc>
          <w:tcPr>
            <w:tcW w:w="1848" w:type="dxa"/>
            <w:tcBorders>
              <w:bottom w:val="dashSmallGap" w:sz="4" w:space="0" w:color="auto"/>
            </w:tcBorders>
          </w:tcPr>
          <w:p w14:paraId="3FB5BC3D" w14:textId="66680B17" w:rsidR="000F423D" w:rsidRPr="00A36839" w:rsidRDefault="000F423D" w:rsidP="003D4D0F">
            <w:pPr>
              <w:rPr>
                <w:rFonts w:ascii="Times" w:hAnsi="Times"/>
                <w:sz w:val="24"/>
                <w:szCs w:val="24"/>
              </w:rPr>
            </w:pPr>
            <w:r w:rsidRPr="00A36839">
              <w:rPr>
                <w:rFonts w:ascii="Times" w:hAnsi="Times"/>
                <w:sz w:val="24"/>
                <w:szCs w:val="24"/>
              </w:rPr>
              <w:t>First</w:t>
            </w:r>
          </w:p>
        </w:tc>
        <w:tc>
          <w:tcPr>
            <w:tcW w:w="1848" w:type="dxa"/>
            <w:tcBorders>
              <w:bottom w:val="dashSmallGap" w:sz="4" w:space="0" w:color="auto"/>
            </w:tcBorders>
          </w:tcPr>
          <w:p w14:paraId="3A034A13" w14:textId="46BA9E96" w:rsidR="000F423D" w:rsidRPr="00A36839" w:rsidRDefault="00F229F7" w:rsidP="00F229F7">
            <w:pPr>
              <w:jc w:val="right"/>
              <w:rPr>
                <w:rFonts w:ascii="Times" w:hAnsi="Times"/>
                <w:sz w:val="24"/>
                <w:szCs w:val="24"/>
              </w:rPr>
            </w:pPr>
            <w:r w:rsidRPr="00A36839">
              <w:rPr>
                <w:rFonts w:ascii="Times" w:hAnsi="Times"/>
                <w:sz w:val="24"/>
                <w:szCs w:val="24"/>
              </w:rPr>
              <w:t>159,409</w:t>
            </w:r>
          </w:p>
        </w:tc>
        <w:tc>
          <w:tcPr>
            <w:tcW w:w="1848" w:type="dxa"/>
            <w:tcBorders>
              <w:bottom w:val="dashSmallGap" w:sz="4" w:space="0" w:color="auto"/>
            </w:tcBorders>
          </w:tcPr>
          <w:p w14:paraId="2B3D938B" w14:textId="3427690A" w:rsidR="000F423D" w:rsidRPr="00A36839" w:rsidRDefault="00F229F7" w:rsidP="00F229F7">
            <w:pPr>
              <w:jc w:val="right"/>
              <w:rPr>
                <w:rFonts w:ascii="Times" w:hAnsi="Times"/>
                <w:sz w:val="24"/>
                <w:szCs w:val="24"/>
              </w:rPr>
            </w:pPr>
            <w:r w:rsidRPr="00A36839">
              <w:rPr>
                <w:rFonts w:ascii="Times" w:hAnsi="Times"/>
                <w:sz w:val="24"/>
                <w:szCs w:val="24"/>
              </w:rPr>
              <w:t>157,858</w:t>
            </w:r>
          </w:p>
        </w:tc>
        <w:tc>
          <w:tcPr>
            <w:tcW w:w="1849" w:type="dxa"/>
            <w:tcBorders>
              <w:bottom w:val="dashSmallGap" w:sz="4" w:space="0" w:color="auto"/>
            </w:tcBorders>
          </w:tcPr>
          <w:p w14:paraId="745210C3" w14:textId="66F57315" w:rsidR="000F423D" w:rsidRPr="00A36839" w:rsidRDefault="00F229F7" w:rsidP="00F229F7">
            <w:pPr>
              <w:jc w:val="right"/>
              <w:rPr>
                <w:rFonts w:ascii="Times" w:hAnsi="Times"/>
                <w:sz w:val="24"/>
                <w:szCs w:val="24"/>
              </w:rPr>
            </w:pPr>
            <w:r w:rsidRPr="00A36839">
              <w:rPr>
                <w:rFonts w:ascii="Times" w:hAnsi="Times"/>
                <w:sz w:val="24"/>
                <w:szCs w:val="24"/>
              </w:rPr>
              <w:t>152,627</w:t>
            </w:r>
          </w:p>
        </w:tc>
        <w:tc>
          <w:tcPr>
            <w:tcW w:w="1849" w:type="dxa"/>
            <w:tcBorders>
              <w:bottom w:val="dashSmallGap" w:sz="4" w:space="0" w:color="auto"/>
            </w:tcBorders>
          </w:tcPr>
          <w:p w14:paraId="0B59FDCE" w14:textId="714CCD49" w:rsidR="000F423D" w:rsidRPr="00A36839" w:rsidRDefault="00F229F7" w:rsidP="00F229F7">
            <w:pPr>
              <w:jc w:val="right"/>
              <w:rPr>
                <w:rFonts w:ascii="Times" w:hAnsi="Times"/>
                <w:sz w:val="24"/>
                <w:szCs w:val="24"/>
              </w:rPr>
            </w:pPr>
            <w:r w:rsidRPr="00A36839">
              <w:rPr>
                <w:rFonts w:ascii="Times" w:hAnsi="Times"/>
                <w:sz w:val="24"/>
                <w:szCs w:val="24"/>
              </w:rPr>
              <w:t>142,805</w:t>
            </w:r>
          </w:p>
        </w:tc>
      </w:tr>
      <w:tr w:rsidR="000F423D" w:rsidRPr="00A36839" w14:paraId="59859DDE" w14:textId="77777777" w:rsidTr="00671C68">
        <w:tc>
          <w:tcPr>
            <w:tcW w:w="1848" w:type="dxa"/>
            <w:tcBorders>
              <w:top w:val="dashSmallGap" w:sz="4" w:space="0" w:color="auto"/>
              <w:bottom w:val="dashSmallGap" w:sz="4" w:space="0" w:color="auto"/>
            </w:tcBorders>
          </w:tcPr>
          <w:p w14:paraId="112899C9" w14:textId="407E6139" w:rsidR="000F423D" w:rsidRPr="00A36839" w:rsidRDefault="000F423D" w:rsidP="003D4D0F">
            <w:pPr>
              <w:rPr>
                <w:rFonts w:ascii="Times" w:hAnsi="Times"/>
                <w:sz w:val="24"/>
                <w:szCs w:val="24"/>
              </w:rPr>
            </w:pPr>
            <w:r w:rsidRPr="00A36839">
              <w:rPr>
                <w:rFonts w:ascii="Times" w:hAnsi="Times"/>
                <w:sz w:val="24"/>
                <w:szCs w:val="24"/>
              </w:rPr>
              <w:t>Second</w:t>
            </w:r>
          </w:p>
        </w:tc>
        <w:tc>
          <w:tcPr>
            <w:tcW w:w="1848" w:type="dxa"/>
            <w:tcBorders>
              <w:top w:val="dashSmallGap" w:sz="4" w:space="0" w:color="auto"/>
              <w:bottom w:val="dashSmallGap" w:sz="4" w:space="0" w:color="auto"/>
            </w:tcBorders>
          </w:tcPr>
          <w:p w14:paraId="5DA06C4A" w14:textId="4065EACA" w:rsidR="000F423D" w:rsidRPr="00A36839" w:rsidRDefault="00F229F7" w:rsidP="00F229F7">
            <w:pPr>
              <w:jc w:val="right"/>
              <w:rPr>
                <w:rFonts w:ascii="Times" w:hAnsi="Times"/>
                <w:sz w:val="24"/>
                <w:szCs w:val="24"/>
              </w:rPr>
            </w:pPr>
            <w:r w:rsidRPr="00A36839">
              <w:rPr>
                <w:rFonts w:ascii="Times" w:hAnsi="Times"/>
                <w:sz w:val="24"/>
                <w:szCs w:val="24"/>
              </w:rPr>
              <w:t>36,264</w:t>
            </w:r>
          </w:p>
        </w:tc>
        <w:tc>
          <w:tcPr>
            <w:tcW w:w="1848" w:type="dxa"/>
            <w:tcBorders>
              <w:top w:val="dashSmallGap" w:sz="4" w:space="0" w:color="auto"/>
              <w:bottom w:val="dashSmallGap" w:sz="4" w:space="0" w:color="auto"/>
            </w:tcBorders>
          </w:tcPr>
          <w:p w14:paraId="6E673C87" w14:textId="229B45A7" w:rsidR="000F423D" w:rsidRPr="00A36839" w:rsidRDefault="00F229F7" w:rsidP="00F229F7">
            <w:pPr>
              <w:jc w:val="right"/>
              <w:rPr>
                <w:rFonts w:ascii="Times" w:hAnsi="Times"/>
                <w:sz w:val="24"/>
                <w:szCs w:val="24"/>
              </w:rPr>
            </w:pPr>
            <w:r w:rsidRPr="00A36839">
              <w:rPr>
                <w:rFonts w:ascii="Times" w:hAnsi="Times"/>
                <w:sz w:val="24"/>
                <w:szCs w:val="24"/>
              </w:rPr>
              <w:t>34,097</w:t>
            </w:r>
          </w:p>
        </w:tc>
        <w:tc>
          <w:tcPr>
            <w:tcW w:w="1849" w:type="dxa"/>
            <w:tcBorders>
              <w:top w:val="dashSmallGap" w:sz="4" w:space="0" w:color="auto"/>
              <w:bottom w:val="dashSmallGap" w:sz="4" w:space="0" w:color="auto"/>
            </w:tcBorders>
          </w:tcPr>
          <w:p w14:paraId="098A0B98" w14:textId="39CBD975" w:rsidR="000F423D" w:rsidRPr="00A36839" w:rsidRDefault="00F229F7" w:rsidP="00F229F7">
            <w:pPr>
              <w:jc w:val="right"/>
              <w:rPr>
                <w:rFonts w:ascii="Times" w:hAnsi="Times"/>
                <w:sz w:val="24"/>
                <w:szCs w:val="24"/>
              </w:rPr>
            </w:pPr>
            <w:r w:rsidRPr="00A36839">
              <w:rPr>
                <w:rFonts w:ascii="Times" w:hAnsi="Times"/>
                <w:sz w:val="24"/>
                <w:szCs w:val="24"/>
              </w:rPr>
              <w:t>32,828</w:t>
            </w:r>
          </w:p>
        </w:tc>
        <w:tc>
          <w:tcPr>
            <w:tcW w:w="1849" w:type="dxa"/>
            <w:tcBorders>
              <w:top w:val="dashSmallGap" w:sz="4" w:space="0" w:color="auto"/>
              <w:bottom w:val="dashSmallGap" w:sz="4" w:space="0" w:color="auto"/>
            </w:tcBorders>
          </w:tcPr>
          <w:p w14:paraId="0FEB8623" w14:textId="5C622369" w:rsidR="000F423D" w:rsidRPr="00A36839" w:rsidRDefault="00F229F7" w:rsidP="00F229F7">
            <w:pPr>
              <w:jc w:val="right"/>
              <w:rPr>
                <w:rFonts w:ascii="Times" w:hAnsi="Times"/>
                <w:sz w:val="24"/>
                <w:szCs w:val="24"/>
              </w:rPr>
            </w:pPr>
            <w:r w:rsidRPr="00A36839">
              <w:rPr>
                <w:rFonts w:ascii="Times" w:hAnsi="Times"/>
                <w:sz w:val="24"/>
                <w:szCs w:val="24"/>
              </w:rPr>
              <w:t>37,418</w:t>
            </w:r>
          </w:p>
        </w:tc>
      </w:tr>
      <w:tr w:rsidR="000F423D" w:rsidRPr="00A36839" w14:paraId="6091D8A5" w14:textId="77777777" w:rsidTr="00671C68">
        <w:tc>
          <w:tcPr>
            <w:tcW w:w="1848" w:type="dxa"/>
            <w:tcBorders>
              <w:top w:val="dashSmallGap" w:sz="4" w:space="0" w:color="auto"/>
            </w:tcBorders>
          </w:tcPr>
          <w:p w14:paraId="76062D7B" w14:textId="4B64A8D0" w:rsidR="000F423D" w:rsidRPr="00A36839" w:rsidRDefault="000F423D" w:rsidP="003D4D0F">
            <w:pPr>
              <w:rPr>
                <w:rFonts w:ascii="Times" w:hAnsi="Times"/>
                <w:sz w:val="24"/>
                <w:szCs w:val="24"/>
              </w:rPr>
            </w:pPr>
            <w:r w:rsidRPr="00A36839">
              <w:rPr>
                <w:rFonts w:ascii="Times" w:hAnsi="Times"/>
                <w:sz w:val="24"/>
                <w:szCs w:val="24"/>
              </w:rPr>
              <w:t>Total</w:t>
            </w:r>
          </w:p>
        </w:tc>
        <w:tc>
          <w:tcPr>
            <w:tcW w:w="1848" w:type="dxa"/>
            <w:tcBorders>
              <w:top w:val="dashSmallGap" w:sz="4" w:space="0" w:color="auto"/>
            </w:tcBorders>
          </w:tcPr>
          <w:p w14:paraId="660BADBC" w14:textId="04A81D65" w:rsidR="000F423D" w:rsidRPr="00A36839" w:rsidRDefault="00F229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195,673</w:t>
            </w:r>
            <w:r w:rsidRPr="00A36839">
              <w:rPr>
                <w:rFonts w:ascii="Times" w:hAnsi="Times"/>
                <w:sz w:val="24"/>
                <w:szCs w:val="24"/>
              </w:rPr>
              <w:fldChar w:fldCharType="end"/>
            </w:r>
          </w:p>
        </w:tc>
        <w:tc>
          <w:tcPr>
            <w:tcW w:w="1848" w:type="dxa"/>
            <w:tcBorders>
              <w:top w:val="dashSmallGap" w:sz="4" w:space="0" w:color="auto"/>
            </w:tcBorders>
          </w:tcPr>
          <w:p w14:paraId="6914EE6B" w14:textId="7B930CB1" w:rsidR="000F423D" w:rsidRPr="00A36839" w:rsidRDefault="00F229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191,955</w:t>
            </w:r>
            <w:r w:rsidRPr="00A36839">
              <w:rPr>
                <w:rFonts w:ascii="Times" w:hAnsi="Times"/>
                <w:sz w:val="24"/>
                <w:szCs w:val="24"/>
              </w:rPr>
              <w:fldChar w:fldCharType="end"/>
            </w:r>
          </w:p>
        </w:tc>
        <w:tc>
          <w:tcPr>
            <w:tcW w:w="1849" w:type="dxa"/>
            <w:tcBorders>
              <w:top w:val="dashSmallGap" w:sz="4" w:space="0" w:color="auto"/>
            </w:tcBorders>
          </w:tcPr>
          <w:p w14:paraId="630B7901" w14:textId="60D63617" w:rsidR="000F423D" w:rsidRPr="00A36839" w:rsidRDefault="004D7981" w:rsidP="00F229F7">
            <w:pPr>
              <w:jc w:val="right"/>
              <w:rPr>
                <w:rFonts w:ascii="Times" w:hAnsi="Times"/>
                <w:sz w:val="24"/>
                <w:szCs w:val="24"/>
              </w:rPr>
            </w:pPr>
            <w:r w:rsidRPr="00A36839">
              <w:rPr>
                <w:rFonts w:ascii="Times" w:hAnsi="Times"/>
                <w:sz w:val="24"/>
                <w:szCs w:val="24"/>
              </w:rPr>
              <w:t>185,455</w:t>
            </w:r>
          </w:p>
        </w:tc>
        <w:tc>
          <w:tcPr>
            <w:tcW w:w="1849" w:type="dxa"/>
            <w:tcBorders>
              <w:top w:val="dashSmallGap" w:sz="4" w:space="0" w:color="auto"/>
            </w:tcBorders>
          </w:tcPr>
          <w:p w14:paraId="4A2DF80D" w14:textId="4CEB9619" w:rsidR="000F423D" w:rsidRPr="00A36839" w:rsidRDefault="00F229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180,223</w:t>
            </w:r>
            <w:r w:rsidRPr="00A36839">
              <w:rPr>
                <w:rFonts w:ascii="Times" w:hAnsi="Times"/>
                <w:sz w:val="24"/>
                <w:szCs w:val="24"/>
              </w:rPr>
              <w:fldChar w:fldCharType="end"/>
            </w:r>
          </w:p>
        </w:tc>
      </w:tr>
      <w:tr w:rsidR="001C23F7" w:rsidRPr="00A36839" w14:paraId="30B401C0" w14:textId="77777777" w:rsidTr="001C23F7">
        <w:tc>
          <w:tcPr>
            <w:tcW w:w="9242" w:type="dxa"/>
            <w:gridSpan w:val="5"/>
          </w:tcPr>
          <w:p w14:paraId="5AA2C031" w14:textId="11C84A84" w:rsidR="001C23F7" w:rsidRPr="00A36839" w:rsidRDefault="001C23F7" w:rsidP="004C6340">
            <w:pPr>
              <w:rPr>
                <w:rFonts w:ascii="Times" w:hAnsi="Times"/>
                <w:sz w:val="24"/>
                <w:szCs w:val="24"/>
              </w:rPr>
            </w:pPr>
            <w:r w:rsidRPr="00A36839">
              <w:rPr>
                <w:rFonts w:ascii="Times" w:hAnsi="Times"/>
                <w:sz w:val="24"/>
                <w:szCs w:val="24"/>
              </w:rPr>
              <w:t>462 visas granted</w:t>
            </w:r>
            <w:r w:rsidR="00BF6E90" w:rsidRPr="00A36839">
              <w:rPr>
                <w:rFonts w:ascii="Times" w:hAnsi="Times"/>
                <w:sz w:val="24"/>
                <w:szCs w:val="24"/>
              </w:rPr>
              <w:t xml:space="preserve"> (Work and Holiday)</w:t>
            </w:r>
          </w:p>
        </w:tc>
      </w:tr>
      <w:tr w:rsidR="00F229F7" w:rsidRPr="00A36839" w14:paraId="3A620236" w14:textId="77777777" w:rsidTr="00671C68">
        <w:tc>
          <w:tcPr>
            <w:tcW w:w="1848" w:type="dxa"/>
            <w:tcBorders>
              <w:bottom w:val="dashSmallGap" w:sz="4" w:space="0" w:color="auto"/>
            </w:tcBorders>
          </w:tcPr>
          <w:p w14:paraId="04B3F673" w14:textId="1BF81885" w:rsidR="00F229F7" w:rsidRPr="00A36839" w:rsidRDefault="00F229F7" w:rsidP="003D4D0F">
            <w:pPr>
              <w:rPr>
                <w:rFonts w:ascii="Times" w:hAnsi="Times"/>
                <w:sz w:val="24"/>
                <w:szCs w:val="24"/>
              </w:rPr>
            </w:pPr>
            <w:r w:rsidRPr="00A36839">
              <w:rPr>
                <w:rFonts w:ascii="Times" w:hAnsi="Times"/>
                <w:sz w:val="24"/>
                <w:szCs w:val="24"/>
              </w:rPr>
              <w:t>First</w:t>
            </w:r>
          </w:p>
        </w:tc>
        <w:tc>
          <w:tcPr>
            <w:tcW w:w="1848" w:type="dxa"/>
            <w:tcBorders>
              <w:bottom w:val="dashSmallGap" w:sz="4" w:space="0" w:color="auto"/>
            </w:tcBorders>
          </w:tcPr>
          <w:p w14:paraId="07024923" w14:textId="2D5EA728" w:rsidR="00F229F7" w:rsidRPr="00A36839" w:rsidRDefault="00C40E2F" w:rsidP="00F229F7">
            <w:pPr>
              <w:jc w:val="right"/>
              <w:rPr>
                <w:rFonts w:ascii="Times" w:hAnsi="Times"/>
                <w:sz w:val="24"/>
                <w:szCs w:val="24"/>
              </w:rPr>
            </w:pPr>
            <w:r w:rsidRPr="00A36839">
              <w:rPr>
                <w:rFonts w:ascii="Times" w:hAnsi="Times"/>
                <w:sz w:val="24"/>
                <w:szCs w:val="24"/>
              </w:rPr>
              <w:t>18,910</w:t>
            </w:r>
          </w:p>
        </w:tc>
        <w:tc>
          <w:tcPr>
            <w:tcW w:w="1848" w:type="dxa"/>
            <w:tcBorders>
              <w:bottom w:val="dashSmallGap" w:sz="4" w:space="0" w:color="auto"/>
            </w:tcBorders>
          </w:tcPr>
          <w:p w14:paraId="7DBC6F65" w14:textId="233F68C6" w:rsidR="00F229F7" w:rsidRPr="00A36839" w:rsidRDefault="00C40E2F" w:rsidP="00F229F7">
            <w:pPr>
              <w:jc w:val="right"/>
              <w:rPr>
                <w:rFonts w:ascii="Times" w:hAnsi="Times"/>
                <w:sz w:val="24"/>
                <w:szCs w:val="24"/>
              </w:rPr>
            </w:pPr>
            <w:r w:rsidRPr="00A36839">
              <w:rPr>
                <w:rFonts w:ascii="Times" w:hAnsi="Times"/>
                <w:sz w:val="24"/>
                <w:szCs w:val="24"/>
              </w:rPr>
              <w:t>18,647</w:t>
            </w:r>
          </w:p>
        </w:tc>
        <w:tc>
          <w:tcPr>
            <w:tcW w:w="1849" w:type="dxa"/>
            <w:tcBorders>
              <w:bottom w:val="dashSmallGap" w:sz="4" w:space="0" w:color="auto"/>
            </w:tcBorders>
          </w:tcPr>
          <w:p w14:paraId="410A71EC" w14:textId="52A33318" w:rsidR="00F229F7" w:rsidRPr="00A36839" w:rsidRDefault="00C40E2F" w:rsidP="00F229F7">
            <w:pPr>
              <w:jc w:val="right"/>
              <w:rPr>
                <w:rFonts w:ascii="Times" w:hAnsi="Times"/>
                <w:sz w:val="24"/>
                <w:szCs w:val="24"/>
              </w:rPr>
            </w:pPr>
            <w:r w:rsidRPr="00A36839">
              <w:rPr>
                <w:rFonts w:ascii="Times" w:hAnsi="Times"/>
                <w:sz w:val="24"/>
                <w:szCs w:val="24"/>
              </w:rPr>
              <w:t>21,667</w:t>
            </w:r>
          </w:p>
        </w:tc>
        <w:tc>
          <w:tcPr>
            <w:tcW w:w="1849" w:type="dxa"/>
            <w:tcBorders>
              <w:bottom w:val="dashSmallGap" w:sz="4" w:space="0" w:color="auto"/>
            </w:tcBorders>
          </w:tcPr>
          <w:p w14:paraId="48C14ADE" w14:textId="59EBFE47" w:rsidR="00F229F7" w:rsidRPr="00A36839" w:rsidRDefault="00C40E2F" w:rsidP="00F229F7">
            <w:pPr>
              <w:jc w:val="right"/>
              <w:rPr>
                <w:rFonts w:ascii="Times" w:hAnsi="Times"/>
                <w:sz w:val="24"/>
                <w:szCs w:val="24"/>
              </w:rPr>
            </w:pPr>
            <w:r w:rsidRPr="00A36839">
              <w:rPr>
                <w:rFonts w:ascii="Times" w:hAnsi="Times"/>
                <w:sz w:val="24"/>
                <w:szCs w:val="24"/>
              </w:rPr>
              <w:t>23,012</w:t>
            </w:r>
          </w:p>
        </w:tc>
      </w:tr>
      <w:tr w:rsidR="00F229F7" w:rsidRPr="00A36839" w14:paraId="6B98E801" w14:textId="77777777" w:rsidTr="00671C68">
        <w:tc>
          <w:tcPr>
            <w:tcW w:w="1848" w:type="dxa"/>
            <w:tcBorders>
              <w:top w:val="dashSmallGap" w:sz="4" w:space="0" w:color="auto"/>
              <w:bottom w:val="dashSmallGap" w:sz="4" w:space="0" w:color="auto"/>
            </w:tcBorders>
          </w:tcPr>
          <w:p w14:paraId="5CFBAA1B" w14:textId="17D16482" w:rsidR="00F229F7" w:rsidRPr="00A36839" w:rsidRDefault="00F229F7" w:rsidP="003D4D0F">
            <w:pPr>
              <w:rPr>
                <w:rFonts w:ascii="Times" w:hAnsi="Times"/>
                <w:sz w:val="24"/>
                <w:szCs w:val="24"/>
              </w:rPr>
            </w:pPr>
            <w:r w:rsidRPr="00A36839">
              <w:rPr>
                <w:rFonts w:ascii="Times" w:hAnsi="Times"/>
                <w:sz w:val="24"/>
                <w:szCs w:val="24"/>
              </w:rPr>
              <w:t>Second</w:t>
            </w:r>
          </w:p>
        </w:tc>
        <w:tc>
          <w:tcPr>
            <w:tcW w:w="1848" w:type="dxa"/>
            <w:tcBorders>
              <w:top w:val="dashSmallGap" w:sz="4" w:space="0" w:color="auto"/>
              <w:bottom w:val="dashSmallGap" w:sz="4" w:space="0" w:color="auto"/>
            </w:tcBorders>
          </w:tcPr>
          <w:p w14:paraId="3DB9BB81" w14:textId="4D86CC79" w:rsidR="00F229F7" w:rsidRPr="00A36839" w:rsidRDefault="00C40E2F" w:rsidP="00F229F7">
            <w:pPr>
              <w:jc w:val="right"/>
              <w:rPr>
                <w:rFonts w:ascii="Times" w:hAnsi="Times"/>
                <w:sz w:val="24"/>
                <w:szCs w:val="24"/>
              </w:rPr>
            </w:pPr>
            <w:r w:rsidRPr="00A36839">
              <w:rPr>
                <w:rFonts w:ascii="Times" w:hAnsi="Times"/>
                <w:sz w:val="24"/>
                <w:szCs w:val="24"/>
              </w:rPr>
              <w:t>nil</w:t>
            </w:r>
          </w:p>
        </w:tc>
        <w:tc>
          <w:tcPr>
            <w:tcW w:w="1848" w:type="dxa"/>
            <w:tcBorders>
              <w:top w:val="dashSmallGap" w:sz="4" w:space="0" w:color="auto"/>
              <w:bottom w:val="dashSmallGap" w:sz="4" w:space="0" w:color="auto"/>
            </w:tcBorders>
          </w:tcPr>
          <w:p w14:paraId="195B1AB5" w14:textId="59ECF2B0" w:rsidR="00F229F7" w:rsidRPr="00A36839" w:rsidRDefault="001C23F7" w:rsidP="00F229F7">
            <w:pPr>
              <w:jc w:val="right"/>
              <w:rPr>
                <w:rFonts w:ascii="Times" w:hAnsi="Times"/>
                <w:sz w:val="24"/>
                <w:szCs w:val="24"/>
              </w:rPr>
            </w:pPr>
            <w:r w:rsidRPr="00A36839">
              <w:rPr>
                <w:rFonts w:ascii="Times" w:hAnsi="Times"/>
                <w:sz w:val="24"/>
                <w:szCs w:val="24"/>
              </w:rPr>
              <w:t>409</w:t>
            </w:r>
          </w:p>
        </w:tc>
        <w:tc>
          <w:tcPr>
            <w:tcW w:w="1849" w:type="dxa"/>
            <w:tcBorders>
              <w:top w:val="dashSmallGap" w:sz="4" w:space="0" w:color="auto"/>
              <w:bottom w:val="dashSmallGap" w:sz="4" w:space="0" w:color="auto"/>
            </w:tcBorders>
          </w:tcPr>
          <w:p w14:paraId="571C593C" w14:textId="624886FF" w:rsidR="00F229F7" w:rsidRPr="00A36839" w:rsidRDefault="001C23F7" w:rsidP="00F229F7">
            <w:pPr>
              <w:jc w:val="right"/>
              <w:rPr>
                <w:rFonts w:ascii="Times" w:hAnsi="Times"/>
                <w:sz w:val="24"/>
                <w:szCs w:val="24"/>
              </w:rPr>
            </w:pPr>
            <w:r w:rsidRPr="00A36839">
              <w:rPr>
                <w:rFonts w:ascii="Times" w:hAnsi="Times"/>
                <w:sz w:val="24"/>
                <w:szCs w:val="24"/>
              </w:rPr>
              <w:t>3,339</w:t>
            </w:r>
          </w:p>
        </w:tc>
        <w:tc>
          <w:tcPr>
            <w:tcW w:w="1849" w:type="dxa"/>
            <w:tcBorders>
              <w:top w:val="dashSmallGap" w:sz="4" w:space="0" w:color="auto"/>
              <w:bottom w:val="dashSmallGap" w:sz="4" w:space="0" w:color="auto"/>
            </w:tcBorders>
          </w:tcPr>
          <w:p w14:paraId="75983793" w14:textId="136FDF86" w:rsidR="00F229F7" w:rsidRPr="00A36839" w:rsidRDefault="001C23F7" w:rsidP="00F229F7">
            <w:pPr>
              <w:jc w:val="right"/>
              <w:rPr>
                <w:rFonts w:ascii="Times" w:hAnsi="Times"/>
                <w:sz w:val="24"/>
                <w:szCs w:val="24"/>
              </w:rPr>
            </w:pPr>
            <w:r w:rsidRPr="00A36839">
              <w:rPr>
                <w:rFonts w:ascii="Times" w:hAnsi="Times"/>
                <w:sz w:val="24"/>
                <w:szCs w:val="24"/>
              </w:rPr>
              <w:t>5,801</w:t>
            </w:r>
          </w:p>
        </w:tc>
      </w:tr>
      <w:tr w:rsidR="00C40E2F" w:rsidRPr="00A36839" w14:paraId="374399EB" w14:textId="77777777" w:rsidTr="00671C68">
        <w:tc>
          <w:tcPr>
            <w:tcW w:w="1848" w:type="dxa"/>
            <w:tcBorders>
              <w:top w:val="dashSmallGap" w:sz="4" w:space="0" w:color="auto"/>
            </w:tcBorders>
          </w:tcPr>
          <w:p w14:paraId="640953E4" w14:textId="57099FEC" w:rsidR="00C40E2F" w:rsidRPr="00A36839" w:rsidRDefault="00C40E2F" w:rsidP="003D4D0F">
            <w:pPr>
              <w:rPr>
                <w:rFonts w:ascii="Times" w:hAnsi="Times"/>
                <w:sz w:val="24"/>
                <w:szCs w:val="24"/>
              </w:rPr>
            </w:pPr>
            <w:r w:rsidRPr="00A36839">
              <w:rPr>
                <w:rFonts w:ascii="Times" w:hAnsi="Times"/>
                <w:sz w:val="24"/>
                <w:szCs w:val="24"/>
              </w:rPr>
              <w:t>Total</w:t>
            </w:r>
          </w:p>
        </w:tc>
        <w:tc>
          <w:tcPr>
            <w:tcW w:w="1848" w:type="dxa"/>
            <w:tcBorders>
              <w:top w:val="dashSmallGap" w:sz="4" w:space="0" w:color="auto"/>
            </w:tcBorders>
          </w:tcPr>
          <w:p w14:paraId="54E43076" w14:textId="4E7B223F" w:rsidR="00C40E2F" w:rsidRPr="00A36839" w:rsidRDefault="00C40E2F" w:rsidP="00F229F7">
            <w:pPr>
              <w:jc w:val="right"/>
              <w:rPr>
                <w:rFonts w:ascii="Times" w:hAnsi="Times"/>
                <w:sz w:val="24"/>
                <w:szCs w:val="24"/>
              </w:rPr>
            </w:pPr>
            <w:r w:rsidRPr="00A36839">
              <w:rPr>
                <w:rFonts w:ascii="Times" w:hAnsi="Times"/>
                <w:sz w:val="24"/>
                <w:szCs w:val="24"/>
              </w:rPr>
              <w:t>18,910</w:t>
            </w:r>
          </w:p>
        </w:tc>
        <w:tc>
          <w:tcPr>
            <w:tcW w:w="1848" w:type="dxa"/>
            <w:tcBorders>
              <w:top w:val="dashSmallGap" w:sz="4" w:space="0" w:color="auto"/>
            </w:tcBorders>
          </w:tcPr>
          <w:p w14:paraId="51240884" w14:textId="5B84E806" w:rsidR="00C40E2F"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19,056</w:t>
            </w:r>
            <w:r w:rsidRPr="00A36839">
              <w:rPr>
                <w:rFonts w:ascii="Times" w:hAnsi="Times"/>
                <w:sz w:val="24"/>
                <w:szCs w:val="24"/>
              </w:rPr>
              <w:fldChar w:fldCharType="end"/>
            </w:r>
          </w:p>
        </w:tc>
        <w:tc>
          <w:tcPr>
            <w:tcW w:w="1849" w:type="dxa"/>
            <w:tcBorders>
              <w:top w:val="dashSmallGap" w:sz="4" w:space="0" w:color="auto"/>
            </w:tcBorders>
          </w:tcPr>
          <w:p w14:paraId="6E678E23" w14:textId="667A5BFE" w:rsidR="00C40E2F"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25,006</w:t>
            </w:r>
            <w:r w:rsidRPr="00A36839">
              <w:rPr>
                <w:rFonts w:ascii="Times" w:hAnsi="Times"/>
                <w:sz w:val="24"/>
                <w:szCs w:val="24"/>
              </w:rPr>
              <w:fldChar w:fldCharType="end"/>
            </w:r>
          </w:p>
        </w:tc>
        <w:tc>
          <w:tcPr>
            <w:tcW w:w="1849" w:type="dxa"/>
            <w:tcBorders>
              <w:top w:val="dashSmallGap" w:sz="4" w:space="0" w:color="auto"/>
            </w:tcBorders>
          </w:tcPr>
          <w:p w14:paraId="15C4BAEC" w14:textId="54DBBAAB" w:rsidR="00C40E2F"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28,813</w:t>
            </w:r>
            <w:r w:rsidRPr="00A36839">
              <w:rPr>
                <w:rFonts w:ascii="Times" w:hAnsi="Times"/>
                <w:sz w:val="24"/>
                <w:szCs w:val="24"/>
              </w:rPr>
              <w:fldChar w:fldCharType="end"/>
            </w:r>
          </w:p>
        </w:tc>
      </w:tr>
      <w:tr w:rsidR="001C23F7" w:rsidRPr="00A36839" w14:paraId="48A27A8D" w14:textId="77777777" w:rsidTr="001C23F7">
        <w:tc>
          <w:tcPr>
            <w:tcW w:w="9242" w:type="dxa"/>
            <w:gridSpan w:val="5"/>
          </w:tcPr>
          <w:p w14:paraId="123CFC29" w14:textId="021F4971" w:rsidR="001C23F7" w:rsidRPr="00A36839" w:rsidRDefault="001C23F7" w:rsidP="001C23F7">
            <w:pPr>
              <w:rPr>
                <w:rFonts w:ascii="Times" w:hAnsi="Times"/>
                <w:sz w:val="24"/>
                <w:szCs w:val="24"/>
              </w:rPr>
            </w:pPr>
            <w:r w:rsidRPr="00A36839">
              <w:rPr>
                <w:rFonts w:ascii="Times" w:hAnsi="Times"/>
                <w:sz w:val="24"/>
                <w:szCs w:val="24"/>
              </w:rPr>
              <w:t>Total 417 and 462 visas granted</w:t>
            </w:r>
          </w:p>
        </w:tc>
      </w:tr>
      <w:tr w:rsidR="00F229F7" w:rsidRPr="00A36839" w14:paraId="4143D2A0" w14:textId="77777777" w:rsidTr="001C23F7">
        <w:tc>
          <w:tcPr>
            <w:tcW w:w="1848" w:type="dxa"/>
            <w:tcBorders>
              <w:bottom w:val="nil"/>
            </w:tcBorders>
          </w:tcPr>
          <w:p w14:paraId="604E6F64" w14:textId="43481328" w:rsidR="00F229F7" w:rsidRPr="00A36839" w:rsidRDefault="00F229F7" w:rsidP="003D4D0F">
            <w:pPr>
              <w:rPr>
                <w:rFonts w:ascii="Times" w:hAnsi="Times"/>
                <w:sz w:val="24"/>
                <w:szCs w:val="24"/>
              </w:rPr>
            </w:pPr>
            <w:r w:rsidRPr="00A36839">
              <w:rPr>
                <w:rFonts w:ascii="Times" w:hAnsi="Times"/>
                <w:sz w:val="24"/>
                <w:szCs w:val="24"/>
              </w:rPr>
              <w:t>First</w:t>
            </w:r>
          </w:p>
        </w:tc>
        <w:tc>
          <w:tcPr>
            <w:tcW w:w="1848" w:type="dxa"/>
            <w:tcBorders>
              <w:bottom w:val="nil"/>
            </w:tcBorders>
          </w:tcPr>
          <w:p w14:paraId="3C1429C4" w14:textId="6CB18709" w:rsidR="00F229F7" w:rsidRPr="00A36839" w:rsidRDefault="001C23F7" w:rsidP="00F229F7">
            <w:pPr>
              <w:jc w:val="right"/>
              <w:rPr>
                <w:rFonts w:ascii="Times" w:hAnsi="Times"/>
                <w:sz w:val="24"/>
                <w:szCs w:val="24"/>
              </w:rPr>
            </w:pPr>
            <w:r w:rsidRPr="00A36839">
              <w:rPr>
                <w:rFonts w:ascii="Times" w:hAnsi="Times"/>
                <w:sz w:val="24"/>
                <w:szCs w:val="24"/>
              </w:rPr>
              <w:t>178,319</w:t>
            </w:r>
          </w:p>
        </w:tc>
        <w:tc>
          <w:tcPr>
            <w:tcW w:w="1848" w:type="dxa"/>
            <w:tcBorders>
              <w:bottom w:val="nil"/>
            </w:tcBorders>
          </w:tcPr>
          <w:p w14:paraId="6C932742" w14:textId="71964A18" w:rsidR="00F229F7" w:rsidRPr="00A36839" w:rsidRDefault="001C23F7" w:rsidP="00F229F7">
            <w:pPr>
              <w:jc w:val="right"/>
              <w:rPr>
                <w:rFonts w:ascii="Times" w:hAnsi="Times"/>
                <w:sz w:val="24"/>
                <w:szCs w:val="24"/>
              </w:rPr>
            </w:pPr>
            <w:r w:rsidRPr="00A36839">
              <w:rPr>
                <w:rFonts w:ascii="Times" w:hAnsi="Times"/>
                <w:sz w:val="24"/>
                <w:szCs w:val="24"/>
              </w:rPr>
              <w:t>176,505</w:t>
            </w:r>
          </w:p>
        </w:tc>
        <w:tc>
          <w:tcPr>
            <w:tcW w:w="1849" w:type="dxa"/>
            <w:tcBorders>
              <w:bottom w:val="nil"/>
            </w:tcBorders>
          </w:tcPr>
          <w:p w14:paraId="6455EDC2" w14:textId="7D682651" w:rsidR="00F229F7" w:rsidRPr="00A36839" w:rsidRDefault="004D7981" w:rsidP="001C23F7">
            <w:pPr>
              <w:jc w:val="right"/>
              <w:rPr>
                <w:rFonts w:ascii="Times" w:hAnsi="Times"/>
                <w:color w:val="FF0000"/>
                <w:sz w:val="24"/>
                <w:szCs w:val="24"/>
              </w:rPr>
            </w:pPr>
            <w:r w:rsidRPr="00A36839">
              <w:rPr>
                <w:rFonts w:ascii="Times" w:hAnsi="Times"/>
                <w:sz w:val="24"/>
                <w:szCs w:val="24"/>
              </w:rPr>
              <w:t>174,294</w:t>
            </w:r>
          </w:p>
        </w:tc>
        <w:tc>
          <w:tcPr>
            <w:tcW w:w="1849" w:type="dxa"/>
            <w:tcBorders>
              <w:bottom w:val="nil"/>
            </w:tcBorders>
          </w:tcPr>
          <w:p w14:paraId="4F8F2323" w14:textId="798DEE7B" w:rsidR="00F229F7" w:rsidRPr="00A36839" w:rsidRDefault="001C23F7" w:rsidP="00F229F7">
            <w:pPr>
              <w:jc w:val="right"/>
              <w:rPr>
                <w:rFonts w:ascii="Times" w:hAnsi="Times"/>
                <w:sz w:val="24"/>
                <w:szCs w:val="24"/>
              </w:rPr>
            </w:pPr>
            <w:r w:rsidRPr="00A36839">
              <w:rPr>
                <w:rFonts w:ascii="Times" w:hAnsi="Times"/>
                <w:sz w:val="24"/>
                <w:szCs w:val="24"/>
              </w:rPr>
              <w:t>165,817</w:t>
            </w:r>
          </w:p>
        </w:tc>
      </w:tr>
      <w:tr w:rsidR="00F229F7" w:rsidRPr="00A36839" w14:paraId="48FE6FCE" w14:textId="77777777" w:rsidTr="001C23F7">
        <w:tc>
          <w:tcPr>
            <w:tcW w:w="1848" w:type="dxa"/>
            <w:tcBorders>
              <w:top w:val="nil"/>
              <w:bottom w:val="nil"/>
            </w:tcBorders>
          </w:tcPr>
          <w:p w14:paraId="4574DD56" w14:textId="3F13C810" w:rsidR="00F229F7" w:rsidRPr="00A36839" w:rsidRDefault="00F229F7" w:rsidP="003D4D0F">
            <w:pPr>
              <w:rPr>
                <w:rFonts w:ascii="Times" w:hAnsi="Times"/>
                <w:i/>
                <w:sz w:val="24"/>
                <w:szCs w:val="24"/>
              </w:rPr>
            </w:pPr>
            <w:r w:rsidRPr="00A36839">
              <w:rPr>
                <w:rFonts w:ascii="Times" w:hAnsi="Times"/>
                <w:i/>
                <w:sz w:val="24"/>
                <w:szCs w:val="24"/>
              </w:rPr>
              <w:t>Second</w:t>
            </w:r>
          </w:p>
        </w:tc>
        <w:tc>
          <w:tcPr>
            <w:tcW w:w="1848" w:type="dxa"/>
            <w:tcBorders>
              <w:top w:val="nil"/>
              <w:bottom w:val="nil"/>
            </w:tcBorders>
          </w:tcPr>
          <w:p w14:paraId="2F5C081B" w14:textId="35F84E9D" w:rsidR="00F229F7" w:rsidRPr="00A36839" w:rsidRDefault="001C23F7" w:rsidP="00F229F7">
            <w:pPr>
              <w:jc w:val="right"/>
              <w:rPr>
                <w:rFonts w:ascii="Times" w:hAnsi="Times"/>
                <w:i/>
                <w:sz w:val="24"/>
                <w:szCs w:val="24"/>
              </w:rPr>
            </w:pPr>
            <w:r w:rsidRPr="00A36839">
              <w:rPr>
                <w:rFonts w:ascii="Times" w:hAnsi="Times"/>
                <w:i/>
                <w:sz w:val="24"/>
                <w:szCs w:val="24"/>
              </w:rPr>
              <w:t>36,264</w:t>
            </w:r>
          </w:p>
        </w:tc>
        <w:tc>
          <w:tcPr>
            <w:tcW w:w="1848" w:type="dxa"/>
            <w:tcBorders>
              <w:top w:val="nil"/>
              <w:bottom w:val="nil"/>
            </w:tcBorders>
          </w:tcPr>
          <w:p w14:paraId="78AFC1CE" w14:textId="11ECB860" w:rsidR="00F229F7" w:rsidRPr="00A36839" w:rsidRDefault="001C23F7" w:rsidP="00F229F7">
            <w:pPr>
              <w:jc w:val="right"/>
              <w:rPr>
                <w:rFonts w:ascii="Times" w:hAnsi="Times"/>
                <w:i/>
                <w:sz w:val="24"/>
                <w:szCs w:val="24"/>
              </w:rPr>
            </w:pPr>
            <w:r w:rsidRPr="00A36839">
              <w:rPr>
                <w:rFonts w:ascii="Times" w:hAnsi="Times"/>
                <w:i/>
                <w:sz w:val="24"/>
                <w:szCs w:val="24"/>
              </w:rPr>
              <w:t>34,506</w:t>
            </w:r>
          </w:p>
        </w:tc>
        <w:tc>
          <w:tcPr>
            <w:tcW w:w="1849" w:type="dxa"/>
            <w:tcBorders>
              <w:top w:val="nil"/>
              <w:bottom w:val="nil"/>
            </w:tcBorders>
          </w:tcPr>
          <w:p w14:paraId="09AAFF6A" w14:textId="4169FE76" w:rsidR="00F229F7" w:rsidRPr="00A36839" w:rsidRDefault="001C23F7" w:rsidP="00F229F7">
            <w:pPr>
              <w:jc w:val="right"/>
              <w:rPr>
                <w:rFonts w:ascii="Times" w:hAnsi="Times"/>
                <w:i/>
                <w:sz w:val="24"/>
                <w:szCs w:val="24"/>
              </w:rPr>
            </w:pPr>
            <w:r w:rsidRPr="00A36839">
              <w:rPr>
                <w:rFonts w:ascii="Times" w:hAnsi="Times"/>
                <w:i/>
                <w:sz w:val="24"/>
                <w:szCs w:val="24"/>
              </w:rPr>
              <w:t>36,167</w:t>
            </w:r>
          </w:p>
        </w:tc>
        <w:tc>
          <w:tcPr>
            <w:tcW w:w="1849" w:type="dxa"/>
            <w:tcBorders>
              <w:top w:val="nil"/>
              <w:bottom w:val="nil"/>
            </w:tcBorders>
          </w:tcPr>
          <w:p w14:paraId="0015377D" w14:textId="533B52E0" w:rsidR="001C23F7" w:rsidRPr="00A36839" w:rsidRDefault="001C23F7" w:rsidP="001C23F7">
            <w:pPr>
              <w:jc w:val="right"/>
              <w:rPr>
                <w:rFonts w:ascii="Times" w:hAnsi="Times"/>
                <w:i/>
                <w:sz w:val="24"/>
                <w:szCs w:val="24"/>
              </w:rPr>
            </w:pPr>
            <w:r w:rsidRPr="00A36839">
              <w:rPr>
                <w:rFonts w:ascii="Times" w:hAnsi="Times"/>
                <w:i/>
                <w:sz w:val="24"/>
                <w:szCs w:val="24"/>
              </w:rPr>
              <w:t>43,219</w:t>
            </w:r>
          </w:p>
        </w:tc>
      </w:tr>
      <w:tr w:rsidR="00F229F7" w:rsidRPr="00A36839" w14:paraId="4E81B0BB" w14:textId="77777777" w:rsidTr="001C23F7">
        <w:tc>
          <w:tcPr>
            <w:tcW w:w="1848" w:type="dxa"/>
            <w:tcBorders>
              <w:top w:val="nil"/>
            </w:tcBorders>
          </w:tcPr>
          <w:p w14:paraId="09AC829D" w14:textId="795BD65B" w:rsidR="00F229F7" w:rsidRPr="00A36839" w:rsidRDefault="00F229F7" w:rsidP="003D4D0F">
            <w:pPr>
              <w:rPr>
                <w:rFonts w:ascii="Times" w:hAnsi="Times"/>
                <w:sz w:val="24"/>
                <w:szCs w:val="24"/>
              </w:rPr>
            </w:pPr>
            <w:r w:rsidRPr="00A36839">
              <w:rPr>
                <w:rFonts w:ascii="Times" w:hAnsi="Times"/>
                <w:sz w:val="24"/>
                <w:szCs w:val="24"/>
              </w:rPr>
              <w:t>Total</w:t>
            </w:r>
          </w:p>
        </w:tc>
        <w:tc>
          <w:tcPr>
            <w:tcW w:w="1848" w:type="dxa"/>
            <w:tcBorders>
              <w:top w:val="nil"/>
            </w:tcBorders>
          </w:tcPr>
          <w:p w14:paraId="3A1B71E4" w14:textId="2D53E0D6" w:rsidR="00F229F7"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214,583</w:t>
            </w:r>
            <w:r w:rsidRPr="00A36839">
              <w:rPr>
                <w:rFonts w:ascii="Times" w:hAnsi="Times"/>
                <w:sz w:val="24"/>
                <w:szCs w:val="24"/>
              </w:rPr>
              <w:fldChar w:fldCharType="end"/>
            </w:r>
          </w:p>
        </w:tc>
        <w:tc>
          <w:tcPr>
            <w:tcW w:w="1848" w:type="dxa"/>
            <w:tcBorders>
              <w:top w:val="nil"/>
            </w:tcBorders>
          </w:tcPr>
          <w:p w14:paraId="49ECFBCA" w14:textId="0DE5888D" w:rsidR="00F229F7"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211,011</w:t>
            </w:r>
            <w:r w:rsidRPr="00A36839">
              <w:rPr>
                <w:rFonts w:ascii="Times" w:hAnsi="Times"/>
                <w:sz w:val="24"/>
                <w:szCs w:val="24"/>
              </w:rPr>
              <w:fldChar w:fldCharType="end"/>
            </w:r>
          </w:p>
        </w:tc>
        <w:tc>
          <w:tcPr>
            <w:tcW w:w="1849" w:type="dxa"/>
            <w:tcBorders>
              <w:top w:val="nil"/>
            </w:tcBorders>
          </w:tcPr>
          <w:p w14:paraId="2384448F" w14:textId="1F02F285" w:rsidR="00F229F7" w:rsidRPr="00A36839" w:rsidRDefault="001C23F7" w:rsidP="004D7981">
            <w:pPr>
              <w:jc w:val="right"/>
              <w:rPr>
                <w:rFonts w:ascii="Times" w:hAnsi="Times"/>
                <w:color w:val="FF0000"/>
                <w:sz w:val="24"/>
                <w:szCs w:val="24"/>
              </w:rPr>
            </w:pPr>
            <w:r w:rsidRPr="00A36839">
              <w:rPr>
                <w:rFonts w:ascii="Times" w:hAnsi="Times"/>
                <w:color w:val="FF0000"/>
                <w:sz w:val="24"/>
                <w:szCs w:val="24"/>
              </w:rPr>
              <w:fldChar w:fldCharType="begin"/>
            </w:r>
            <w:r w:rsidRPr="00A36839">
              <w:rPr>
                <w:rFonts w:ascii="Times" w:hAnsi="Times"/>
                <w:color w:val="FF0000"/>
                <w:sz w:val="24"/>
                <w:szCs w:val="24"/>
              </w:rPr>
              <w:instrText xml:space="preserve"> =SUM(ABOVE) </w:instrText>
            </w:r>
            <w:r w:rsidRPr="00A36839">
              <w:rPr>
                <w:rFonts w:ascii="Times" w:hAnsi="Times"/>
                <w:color w:val="FF0000"/>
                <w:sz w:val="24"/>
                <w:szCs w:val="24"/>
              </w:rPr>
              <w:fldChar w:fldCharType="separate"/>
            </w:r>
            <w:r w:rsidRPr="00A36839">
              <w:rPr>
                <w:rFonts w:ascii="Times" w:hAnsi="Times"/>
                <w:noProof/>
                <w:sz w:val="24"/>
                <w:szCs w:val="24"/>
              </w:rPr>
              <w:t>2</w:t>
            </w:r>
            <w:r w:rsidR="004D7981" w:rsidRPr="00A36839">
              <w:rPr>
                <w:rFonts w:ascii="Times" w:hAnsi="Times"/>
                <w:noProof/>
                <w:sz w:val="24"/>
                <w:szCs w:val="24"/>
              </w:rPr>
              <w:t>10,461</w:t>
            </w:r>
            <w:r w:rsidRPr="00A36839">
              <w:rPr>
                <w:rFonts w:ascii="Times" w:hAnsi="Times"/>
                <w:color w:val="FF0000"/>
                <w:sz w:val="24"/>
                <w:szCs w:val="24"/>
              </w:rPr>
              <w:fldChar w:fldCharType="end"/>
            </w:r>
          </w:p>
        </w:tc>
        <w:tc>
          <w:tcPr>
            <w:tcW w:w="1849" w:type="dxa"/>
            <w:tcBorders>
              <w:top w:val="nil"/>
            </w:tcBorders>
          </w:tcPr>
          <w:p w14:paraId="2446E310" w14:textId="5F3ADD5D" w:rsidR="00F229F7" w:rsidRPr="00A36839" w:rsidRDefault="001C23F7" w:rsidP="00F229F7">
            <w:pPr>
              <w:jc w:val="right"/>
              <w:rPr>
                <w:rFonts w:ascii="Times" w:hAnsi="Times"/>
                <w:sz w:val="24"/>
                <w:szCs w:val="24"/>
              </w:rPr>
            </w:pPr>
            <w:r w:rsidRPr="00A36839">
              <w:rPr>
                <w:rFonts w:ascii="Times" w:hAnsi="Times"/>
                <w:sz w:val="24"/>
                <w:szCs w:val="24"/>
              </w:rPr>
              <w:fldChar w:fldCharType="begin"/>
            </w:r>
            <w:r w:rsidRPr="00A36839">
              <w:rPr>
                <w:rFonts w:ascii="Times" w:hAnsi="Times"/>
                <w:sz w:val="24"/>
                <w:szCs w:val="24"/>
              </w:rPr>
              <w:instrText xml:space="preserve"> =SUM(ABOVE) </w:instrText>
            </w:r>
            <w:r w:rsidRPr="00A36839">
              <w:rPr>
                <w:rFonts w:ascii="Times" w:hAnsi="Times"/>
                <w:sz w:val="24"/>
                <w:szCs w:val="24"/>
              </w:rPr>
              <w:fldChar w:fldCharType="separate"/>
            </w:r>
            <w:r w:rsidRPr="00A36839">
              <w:rPr>
                <w:rFonts w:ascii="Times" w:hAnsi="Times"/>
                <w:noProof/>
                <w:sz w:val="24"/>
                <w:szCs w:val="24"/>
              </w:rPr>
              <w:t>209,036</w:t>
            </w:r>
            <w:r w:rsidRPr="00A36839">
              <w:rPr>
                <w:rFonts w:ascii="Times" w:hAnsi="Times"/>
                <w:sz w:val="24"/>
                <w:szCs w:val="24"/>
              </w:rPr>
              <w:fldChar w:fldCharType="end"/>
            </w:r>
          </w:p>
        </w:tc>
      </w:tr>
    </w:tbl>
    <w:p w14:paraId="5180B132" w14:textId="5B2D38F7" w:rsidR="000F423D" w:rsidRPr="00A36839" w:rsidRDefault="00F229F7" w:rsidP="003D4D0F">
      <w:pPr>
        <w:rPr>
          <w:rFonts w:ascii="Times" w:hAnsi="Times"/>
        </w:rPr>
      </w:pPr>
      <w:r w:rsidRPr="00A36839">
        <w:rPr>
          <w:rFonts w:ascii="Times" w:hAnsi="Times"/>
        </w:rPr>
        <w:t>Source:</w:t>
      </w:r>
      <w:r w:rsidR="00740288" w:rsidRPr="00A36839">
        <w:rPr>
          <w:rFonts w:ascii="Times" w:hAnsi="Times"/>
        </w:rPr>
        <w:t xml:space="preserve"> </w:t>
      </w:r>
      <w:r w:rsidRPr="00A36839">
        <w:rPr>
          <w:rFonts w:ascii="Times" w:hAnsi="Times"/>
        </w:rPr>
        <w:t>DHA BR0110 Working Holiday Maker visa program report, 31 December 2019</w:t>
      </w:r>
    </w:p>
    <w:p w14:paraId="23E240CE" w14:textId="77777777" w:rsidR="00A36839" w:rsidRDefault="00A36839" w:rsidP="003A42AE">
      <w:pPr>
        <w:rPr>
          <w:rFonts w:ascii="Times" w:hAnsi="Times"/>
          <w:sz w:val="24"/>
          <w:szCs w:val="24"/>
        </w:rPr>
      </w:pPr>
    </w:p>
    <w:p w14:paraId="2FE6EB0D" w14:textId="57744E07" w:rsidR="00415FE4" w:rsidRPr="00A36839" w:rsidRDefault="00224B54" w:rsidP="003A42AE">
      <w:pPr>
        <w:rPr>
          <w:rFonts w:ascii="Times" w:hAnsi="Times"/>
          <w:sz w:val="24"/>
          <w:szCs w:val="24"/>
        </w:rPr>
      </w:pPr>
      <w:r w:rsidRPr="00A36839">
        <w:rPr>
          <w:rFonts w:ascii="Times" w:hAnsi="Times"/>
          <w:sz w:val="24"/>
          <w:szCs w:val="24"/>
        </w:rPr>
        <w:t xml:space="preserve">In sum, </w:t>
      </w:r>
      <w:r w:rsidR="004F7C36" w:rsidRPr="00A36839">
        <w:rPr>
          <w:rFonts w:ascii="Times" w:hAnsi="Times"/>
          <w:sz w:val="24"/>
          <w:szCs w:val="24"/>
        </w:rPr>
        <w:t xml:space="preserve">even with </w:t>
      </w:r>
      <w:r w:rsidR="00EB6AE2" w:rsidRPr="00A36839">
        <w:rPr>
          <w:rFonts w:ascii="Times" w:hAnsi="Times"/>
          <w:sz w:val="24"/>
          <w:szCs w:val="24"/>
        </w:rPr>
        <w:t xml:space="preserve">the </w:t>
      </w:r>
      <w:r w:rsidR="004F7C36" w:rsidRPr="00A36839">
        <w:rPr>
          <w:rFonts w:ascii="Times" w:hAnsi="Times"/>
          <w:sz w:val="24"/>
          <w:szCs w:val="24"/>
        </w:rPr>
        <w:t>amendments obliging WHMs to work in agriculture if they wanted a second year in Australia</w:t>
      </w:r>
      <w:r w:rsidR="00EB6AE2" w:rsidRPr="00A36839">
        <w:rPr>
          <w:rFonts w:ascii="Times" w:hAnsi="Times"/>
          <w:sz w:val="24"/>
          <w:szCs w:val="24"/>
        </w:rPr>
        <w:t xml:space="preserve">, the flow of WHMs is falling well short of the numbers </w:t>
      </w:r>
      <w:r w:rsidR="004F7C36" w:rsidRPr="00A36839">
        <w:rPr>
          <w:rFonts w:ascii="Times" w:hAnsi="Times"/>
          <w:sz w:val="24"/>
          <w:szCs w:val="24"/>
        </w:rPr>
        <w:t>growers want.</w:t>
      </w:r>
    </w:p>
    <w:p w14:paraId="7BBF9129" w14:textId="0EE1DBDE" w:rsidR="00834651" w:rsidRPr="00A36839" w:rsidRDefault="00834651" w:rsidP="00834651">
      <w:pPr>
        <w:rPr>
          <w:rFonts w:ascii="Times" w:hAnsi="Times"/>
          <w:sz w:val="24"/>
          <w:szCs w:val="24"/>
        </w:rPr>
      </w:pPr>
      <w:r w:rsidRPr="00A36839">
        <w:rPr>
          <w:rFonts w:ascii="Times" w:hAnsi="Times"/>
          <w:sz w:val="24"/>
          <w:szCs w:val="24"/>
        </w:rPr>
        <w:t>This conclusion is supported by anecdotal evidence such as that from a grower in Orange. He told Howe and her colleagues that ‘Four to five years ago we used to get gluts of backpackers coming through. You had to lock the gates sometime to stop people coming in and wasting time … But in the last few years we are running a fine line – we’re just managing with a little bit of sharing’.</w:t>
      </w:r>
      <w:r w:rsidRPr="00A36839">
        <w:rPr>
          <w:rStyle w:val="EndnoteReference"/>
          <w:rFonts w:ascii="Times" w:hAnsi="Times"/>
          <w:sz w:val="24"/>
          <w:szCs w:val="24"/>
        </w:rPr>
        <w:endnoteReference w:id="12"/>
      </w:r>
    </w:p>
    <w:p w14:paraId="62397147" w14:textId="77777777" w:rsidR="00A36839" w:rsidRPr="00A36839" w:rsidRDefault="005A5480" w:rsidP="003A42AE">
      <w:pPr>
        <w:rPr>
          <w:rFonts w:ascii="Times" w:hAnsi="Times"/>
          <w:sz w:val="24"/>
          <w:szCs w:val="24"/>
        </w:rPr>
      </w:pPr>
      <w:r w:rsidRPr="00A36839">
        <w:rPr>
          <w:rFonts w:ascii="Times" w:hAnsi="Times"/>
          <w:sz w:val="24"/>
          <w:szCs w:val="24"/>
        </w:rPr>
        <w:t>These anecdotal accounts suggest that WHMs are available near the more salubrious East coast locations, but relatively thin on the ground in inland locations.</w:t>
      </w:r>
    </w:p>
    <w:p w14:paraId="48239F1B" w14:textId="77777777" w:rsidR="00A36839" w:rsidRPr="00A36839" w:rsidRDefault="00EE2145" w:rsidP="0014407D">
      <w:pPr>
        <w:rPr>
          <w:rFonts w:ascii="Times" w:hAnsi="Times"/>
          <w:sz w:val="24"/>
          <w:szCs w:val="24"/>
        </w:rPr>
      </w:pPr>
      <w:r w:rsidRPr="00A36839">
        <w:rPr>
          <w:rFonts w:ascii="Times" w:hAnsi="Times"/>
          <w:sz w:val="24"/>
          <w:szCs w:val="24"/>
        </w:rPr>
        <w:t xml:space="preserve">It is thus no surprise that horticultural interests continue to lobby </w:t>
      </w:r>
      <w:r w:rsidR="004F7C36" w:rsidRPr="00A36839">
        <w:rPr>
          <w:rFonts w:ascii="Times" w:hAnsi="Times"/>
          <w:sz w:val="24"/>
          <w:szCs w:val="24"/>
        </w:rPr>
        <w:t xml:space="preserve">for further </w:t>
      </w:r>
      <w:r w:rsidR="00122818" w:rsidRPr="00A36839">
        <w:rPr>
          <w:rFonts w:ascii="Times" w:hAnsi="Times"/>
          <w:sz w:val="24"/>
          <w:szCs w:val="24"/>
        </w:rPr>
        <w:t xml:space="preserve">temporary </w:t>
      </w:r>
      <w:r w:rsidR="004F7C36" w:rsidRPr="00A36839">
        <w:rPr>
          <w:rFonts w:ascii="Times" w:hAnsi="Times"/>
          <w:sz w:val="24"/>
          <w:szCs w:val="24"/>
        </w:rPr>
        <w:t>migrant workforce initiatives</w:t>
      </w:r>
      <w:r w:rsidRPr="00A36839">
        <w:rPr>
          <w:rFonts w:ascii="Times" w:hAnsi="Times"/>
          <w:sz w:val="24"/>
          <w:szCs w:val="24"/>
        </w:rPr>
        <w:t xml:space="preserve"> that will tie this workforce to work in the industry</w:t>
      </w:r>
      <w:r w:rsidR="004F7C36" w:rsidRPr="00A36839">
        <w:rPr>
          <w:rFonts w:ascii="Times" w:hAnsi="Times"/>
          <w:sz w:val="24"/>
          <w:szCs w:val="24"/>
        </w:rPr>
        <w:t>.</w:t>
      </w:r>
    </w:p>
    <w:p w14:paraId="4749A222" w14:textId="77777777" w:rsidR="00A36839" w:rsidRPr="00A36839" w:rsidRDefault="00EB6AE2" w:rsidP="0014407D">
      <w:pPr>
        <w:rPr>
          <w:rFonts w:ascii="Times" w:hAnsi="Times"/>
          <w:sz w:val="24"/>
          <w:szCs w:val="24"/>
        </w:rPr>
      </w:pPr>
      <w:r w:rsidRPr="00A36839">
        <w:rPr>
          <w:rFonts w:ascii="Times" w:hAnsi="Times"/>
          <w:sz w:val="24"/>
          <w:szCs w:val="24"/>
        </w:rPr>
        <w:t xml:space="preserve">The Coalition government has obliged. In </w:t>
      </w:r>
      <w:r w:rsidR="003A42AE" w:rsidRPr="00A36839">
        <w:rPr>
          <w:rFonts w:ascii="Times" w:hAnsi="Times"/>
          <w:sz w:val="24"/>
          <w:szCs w:val="24"/>
        </w:rPr>
        <w:t xml:space="preserve">2019 </w:t>
      </w:r>
      <w:r w:rsidRPr="00A36839">
        <w:rPr>
          <w:rFonts w:ascii="Times" w:hAnsi="Times"/>
          <w:sz w:val="24"/>
          <w:szCs w:val="24"/>
        </w:rPr>
        <w:t xml:space="preserve">it </w:t>
      </w:r>
      <w:r w:rsidR="003A42AE" w:rsidRPr="00A36839">
        <w:rPr>
          <w:rFonts w:ascii="Times" w:hAnsi="Times"/>
          <w:sz w:val="24"/>
          <w:szCs w:val="24"/>
        </w:rPr>
        <w:t xml:space="preserve">declared that, </w:t>
      </w:r>
      <w:r w:rsidR="0014407D" w:rsidRPr="00A36839">
        <w:rPr>
          <w:rFonts w:ascii="Times" w:hAnsi="Times"/>
          <w:sz w:val="24"/>
          <w:szCs w:val="24"/>
        </w:rPr>
        <w:t>from 17 February 2020</w:t>
      </w:r>
      <w:r w:rsidR="00224B54" w:rsidRPr="00A36839">
        <w:rPr>
          <w:rFonts w:ascii="Times" w:hAnsi="Times"/>
          <w:sz w:val="24"/>
          <w:szCs w:val="24"/>
        </w:rPr>
        <w:t>,</w:t>
      </w:r>
      <w:r w:rsidR="0014407D" w:rsidRPr="00A36839">
        <w:rPr>
          <w:rFonts w:ascii="Times" w:hAnsi="Times"/>
          <w:sz w:val="24"/>
          <w:szCs w:val="24"/>
        </w:rPr>
        <w:t xml:space="preserve"> </w:t>
      </w:r>
      <w:r w:rsidR="00A203CA" w:rsidRPr="00A36839">
        <w:rPr>
          <w:rFonts w:ascii="Times" w:hAnsi="Times"/>
          <w:sz w:val="24"/>
          <w:szCs w:val="24"/>
        </w:rPr>
        <w:t xml:space="preserve">a further option </w:t>
      </w:r>
      <w:r w:rsidR="003A42AE" w:rsidRPr="00A36839">
        <w:rPr>
          <w:rFonts w:ascii="Times" w:hAnsi="Times"/>
          <w:sz w:val="24"/>
          <w:szCs w:val="24"/>
        </w:rPr>
        <w:t xml:space="preserve">of an additional third year on the WHM visa would be introduced. </w:t>
      </w:r>
      <w:r w:rsidR="0014407D" w:rsidRPr="00A36839">
        <w:rPr>
          <w:rFonts w:ascii="Times" w:hAnsi="Times"/>
          <w:sz w:val="24"/>
          <w:szCs w:val="24"/>
        </w:rPr>
        <w:t>To be eligible WHW</w:t>
      </w:r>
      <w:r w:rsidR="00122818" w:rsidRPr="00A36839">
        <w:rPr>
          <w:rFonts w:ascii="Times" w:hAnsi="Times"/>
          <w:sz w:val="24"/>
          <w:szCs w:val="24"/>
        </w:rPr>
        <w:t xml:space="preserve"> and Work and Holiday visa holders</w:t>
      </w:r>
      <w:r w:rsidR="00834651" w:rsidRPr="00A36839">
        <w:rPr>
          <w:rFonts w:ascii="Times" w:hAnsi="Times"/>
          <w:sz w:val="24"/>
          <w:szCs w:val="24"/>
        </w:rPr>
        <w:t xml:space="preserve"> </w:t>
      </w:r>
      <w:r w:rsidR="0014407D" w:rsidRPr="00A36839">
        <w:rPr>
          <w:rFonts w:ascii="Times" w:hAnsi="Times"/>
          <w:sz w:val="24"/>
          <w:szCs w:val="24"/>
        </w:rPr>
        <w:t xml:space="preserve">had to have worked </w:t>
      </w:r>
      <w:r w:rsidR="00843107" w:rsidRPr="00A36839">
        <w:rPr>
          <w:rFonts w:ascii="Times" w:hAnsi="Times"/>
          <w:sz w:val="24"/>
          <w:szCs w:val="24"/>
        </w:rPr>
        <w:t xml:space="preserve">(from 1 July 2019) </w:t>
      </w:r>
      <w:r w:rsidR="0014407D" w:rsidRPr="00A36839">
        <w:rPr>
          <w:rFonts w:ascii="Times" w:hAnsi="Times"/>
          <w:sz w:val="24"/>
          <w:szCs w:val="24"/>
        </w:rPr>
        <w:t>for six months on ‘specified work’ (</w:t>
      </w:r>
      <w:r w:rsidR="00843107" w:rsidRPr="00A36839">
        <w:rPr>
          <w:rFonts w:ascii="Times" w:hAnsi="Times"/>
          <w:sz w:val="24"/>
          <w:szCs w:val="24"/>
        </w:rPr>
        <w:t xml:space="preserve">as </w:t>
      </w:r>
      <w:r w:rsidR="00224B54" w:rsidRPr="00A36839">
        <w:rPr>
          <w:rFonts w:ascii="Times" w:hAnsi="Times"/>
          <w:sz w:val="24"/>
          <w:szCs w:val="24"/>
        </w:rPr>
        <w:t>defined</w:t>
      </w:r>
      <w:r w:rsidR="00843107" w:rsidRPr="00A36839">
        <w:rPr>
          <w:rFonts w:ascii="Times" w:hAnsi="Times"/>
          <w:sz w:val="24"/>
          <w:szCs w:val="24"/>
        </w:rPr>
        <w:t xml:space="preserve"> above)</w:t>
      </w:r>
      <w:r w:rsidR="0014407D" w:rsidRPr="00A36839">
        <w:rPr>
          <w:rFonts w:ascii="Times" w:hAnsi="Times"/>
          <w:sz w:val="24"/>
          <w:szCs w:val="24"/>
        </w:rPr>
        <w:t xml:space="preserve"> </w:t>
      </w:r>
      <w:r w:rsidR="00843107" w:rsidRPr="00A36839">
        <w:rPr>
          <w:rFonts w:ascii="Times" w:hAnsi="Times"/>
          <w:sz w:val="24"/>
          <w:szCs w:val="24"/>
        </w:rPr>
        <w:t xml:space="preserve">while holding a second year WHM visa. </w:t>
      </w:r>
      <w:r w:rsidR="0014407D" w:rsidRPr="00A36839">
        <w:rPr>
          <w:rFonts w:ascii="Times" w:hAnsi="Times"/>
          <w:sz w:val="24"/>
          <w:szCs w:val="24"/>
        </w:rPr>
        <w:t>If so they w</w:t>
      </w:r>
      <w:r w:rsidR="003A42AE" w:rsidRPr="00A36839">
        <w:rPr>
          <w:rFonts w:ascii="Times" w:hAnsi="Times"/>
          <w:sz w:val="24"/>
          <w:szCs w:val="24"/>
        </w:rPr>
        <w:t xml:space="preserve">ould be </w:t>
      </w:r>
      <w:r w:rsidR="0014407D" w:rsidRPr="00A36839">
        <w:rPr>
          <w:rFonts w:ascii="Times" w:hAnsi="Times"/>
          <w:sz w:val="24"/>
          <w:szCs w:val="24"/>
        </w:rPr>
        <w:t xml:space="preserve">permitted a third year during which they can work for six months, including with an employer they had previously worked for. </w:t>
      </w:r>
      <w:r w:rsidR="00843107" w:rsidRPr="00A36839">
        <w:rPr>
          <w:rFonts w:ascii="Times" w:hAnsi="Times"/>
          <w:sz w:val="24"/>
          <w:szCs w:val="24"/>
        </w:rPr>
        <w:t xml:space="preserve">There is no restriction on the kind of work </w:t>
      </w:r>
      <w:r w:rsidR="00224B54" w:rsidRPr="00A36839">
        <w:rPr>
          <w:rFonts w:ascii="Times" w:hAnsi="Times"/>
          <w:sz w:val="24"/>
          <w:szCs w:val="24"/>
        </w:rPr>
        <w:t xml:space="preserve">chosen, or its </w:t>
      </w:r>
      <w:r w:rsidR="00843107" w:rsidRPr="00A36839">
        <w:rPr>
          <w:rFonts w:ascii="Times" w:hAnsi="Times"/>
          <w:sz w:val="24"/>
          <w:szCs w:val="24"/>
        </w:rPr>
        <w:t xml:space="preserve">location </w:t>
      </w:r>
      <w:r w:rsidR="00224B54" w:rsidRPr="00A36839">
        <w:rPr>
          <w:rFonts w:ascii="Times" w:hAnsi="Times"/>
          <w:sz w:val="24"/>
          <w:szCs w:val="24"/>
        </w:rPr>
        <w:t xml:space="preserve">during this </w:t>
      </w:r>
      <w:r w:rsidR="00843107" w:rsidRPr="00A36839">
        <w:rPr>
          <w:rFonts w:ascii="Times" w:hAnsi="Times"/>
          <w:sz w:val="24"/>
          <w:szCs w:val="24"/>
        </w:rPr>
        <w:t>third year.</w:t>
      </w:r>
    </w:p>
    <w:p w14:paraId="4B48E3FE" w14:textId="77777777" w:rsidR="00A36839" w:rsidRPr="00A36839" w:rsidRDefault="003A42AE" w:rsidP="0014407D">
      <w:pPr>
        <w:rPr>
          <w:rFonts w:ascii="Times" w:hAnsi="Times"/>
          <w:sz w:val="24"/>
          <w:szCs w:val="24"/>
        </w:rPr>
      </w:pPr>
      <w:r w:rsidRPr="00A36839">
        <w:rPr>
          <w:rFonts w:ascii="Times" w:hAnsi="Times"/>
          <w:sz w:val="24"/>
          <w:szCs w:val="24"/>
        </w:rPr>
        <w:t>Whether this incentive reverses the trend described above remains to be seen.</w:t>
      </w:r>
      <w:r w:rsidR="005A5480" w:rsidRPr="00A36839">
        <w:rPr>
          <w:rFonts w:ascii="Times" w:hAnsi="Times"/>
          <w:sz w:val="24"/>
          <w:szCs w:val="24"/>
        </w:rPr>
        <w:t xml:space="preserve"> I think it is unlikely given the relative unattractiveness of the second year option.</w:t>
      </w:r>
    </w:p>
    <w:p w14:paraId="56175072" w14:textId="77777777" w:rsidR="00A36839" w:rsidRPr="00A36839" w:rsidRDefault="009F0A07">
      <w:pPr>
        <w:rPr>
          <w:rFonts w:ascii="Times" w:hAnsi="Times"/>
          <w:sz w:val="24"/>
          <w:szCs w:val="24"/>
        </w:rPr>
      </w:pPr>
      <w:r w:rsidRPr="00A36839">
        <w:rPr>
          <w:rFonts w:ascii="Times" w:hAnsi="Times"/>
          <w:sz w:val="24"/>
          <w:szCs w:val="24"/>
        </w:rPr>
        <w:t xml:space="preserve">Where is the rest of horticultural workforce coming from? </w:t>
      </w:r>
      <w:r w:rsidR="002F2FCF" w:rsidRPr="00A36839">
        <w:rPr>
          <w:rFonts w:ascii="Times" w:hAnsi="Times"/>
          <w:sz w:val="24"/>
          <w:szCs w:val="24"/>
        </w:rPr>
        <w:t xml:space="preserve">It is </w:t>
      </w:r>
      <w:r w:rsidR="004F41F6" w:rsidRPr="00A36839">
        <w:rPr>
          <w:rFonts w:ascii="Times" w:hAnsi="Times"/>
          <w:sz w:val="24"/>
          <w:szCs w:val="24"/>
        </w:rPr>
        <w:t xml:space="preserve">not </w:t>
      </w:r>
      <w:r w:rsidR="002F2FCF" w:rsidRPr="00A36839">
        <w:rPr>
          <w:rFonts w:ascii="Times" w:hAnsi="Times"/>
          <w:sz w:val="24"/>
          <w:szCs w:val="24"/>
        </w:rPr>
        <w:t xml:space="preserve">from the domestic workforce. They constitute a diminishing share. </w:t>
      </w:r>
      <w:r w:rsidRPr="00A36839">
        <w:rPr>
          <w:rFonts w:ascii="Times" w:hAnsi="Times"/>
          <w:sz w:val="24"/>
          <w:szCs w:val="24"/>
        </w:rPr>
        <w:t>T</w:t>
      </w:r>
      <w:r w:rsidR="00D32B07" w:rsidRPr="00A36839">
        <w:rPr>
          <w:rFonts w:ascii="Times" w:hAnsi="Times"/>
          <w:sz w:val="24"/>
          <w:szCs w:val="24"/>
        </w:rPr>
        <w:t xml:space="preserve">he answer is that an increasing </w:t>
      </w:r>
      <w:r w:rsidR="006144DD" w:rsidRPr="00A36839">
        <w:rPr>
          <w:rFonts w:ascii="Times" w:hAnsi="Times"/>
          <w:sz w:val="24"/>
          <w:szCs w:val="24"/>
        </w:rPr>
        <w:t xml:space="preserve">component </w:t>
      </w:r>
      <w:r w:rsidR="00D32B07" w:rsidRPr="00A36839">
        <w:rPr>
          <w:rFonts w:ascii="Times" w:hAnsi="Times"/>
          <w:sz w:val="24"/>
          <w:szCs w:val="24"/>
        </w:rPr>
        <w:t xml:space="preserve">is being sourced from </w:t>
      </w:r>
      <w:r w:rsidR="00075BB7" w:rsidRPr="00A36839">
        <w:rPr>
          <w:rFonts w:ascii="Times" w:hAnsi="Times"/>
          <w:sz w:val="24"/>
          <w:szCs w:val="24"/>
        </w:rPr>
        <w:t xml:space="preserve">the </w:t>
      </w:r>
      <w:r w:rsidR="004D631C" w:rsidRPr="00A36839">
        <w:rPr>
          <w:rFonts w:ascii="Times" w:hAnsi="Times"/>
          <w:sz w:val="24"/>
          <w:szCs w:val="24"/>
        </w:rPr>
        <w:t xml:space="preserve">growing </w:t>
      </w:r>
      <w:r w:rsidR="00075BB7" w:rsidRPr="00A36839">
        <w:rPr>
          <w:rFonts w:ascii="Times" w:hAnsi="Times"/>
          <w:sz w:val="24"/>
          <w:szCs w:val="24"/>
        </w:rPr>
        <w:t xml:space="preserve">stock of </w:t>
      </w:r>
      <w:r w:rsidR="00D32B07" w:rsidRPr="00A36839">
        <w:rPr>
          <w:rFonts w:ascii="Times" w:hAnsi="Times"/>
          <w:sz w:val="24"/>
          <w:szCs w:val="24"/>
        </w:rPr>
        <w:t>other temporary visa holders</w:t>
      </w:r>
      <w:r w:rsidR="004D631C" w:rsidRPr="00A36839">
        <w:rPr>
          <w:rFonts w:ascii="Times" w:hAnsi="Times"/>
          <w:sz w:val="24"/>
          <w:szCs w:val="24"/>
        </w:rPr>
        <w:t xml:space="preserve"> in Australia</w:t>
      </w:r>
      <w:r w:rsidR="00D32B07" w:rsidRPr="00A36839">
        <w:rPr>
          <w:rFonts w:ascii="Times" w:hAnsi="Times"/>
          <w:sz w:val="24"/>
          <w:szCs w:val="24"/>
        </w:rPr>
        <w:t>.</w:t>
      </w:r>
    </w:p>
    <w:p w14:paraId="6546ECDA" w14:textId="77777777" w:rsidR="00A36839" w:rsidRPr="00A36839" w:rsidRDefault="00D32B07" w:rsidP="00A36839">
      <w:pPr>
        <w:pStyle w:val="Heading2"/>
      </w:pPr>
      <w:bookmarkStart w:id="12" w:name="_Toc46319545"/>
      <w:bookmarkStart w:id="13" w:name="_Toc46319731"/>
      <w:r w:rsidRPr="00A36839">
        <w:lastRenderedPageBreak/>
        <w:t>Other temporary migrant visa holders</w:t>
      </w:r>
      <w:bookmarkEnd w:id="12"/>
      <w:bookmarkEnd w:id="13"/>
    </w:p>
    <w:p w14:paraId="2595AD26" w14:textId="57760266" w:rsidR="00A36839" w:rsidRPr="00A36839" w:rsidRDefault="008F5377">
      <w:pPr>
        <w:rPr>
          <w:rFonts w:ascii="Times" w:hAnsi="Times"/>
          <w:sz w:val="24"/>
          <w:szCs w:val="24"/>
        </w:rPr>
      </w:pPr>
      <w:r w:rsidRPr="00A36839">
        <w:rPr>
          <w:rFonts w:ascii="Times" w:hAnsi="Times"/>
          <w:sz w:val="24"/>
          <w:szCs w:val="24"/>
        </w:rPr>
        <w:t xml:space="preserve">There is a raft of evidence that other migrants on temporary visas (that is, </w:t>
      </w:r>
      <w:r w:rsidR="00224B54" w:rsidRPr="00A36839">
        <w:rPr>
          <w:rFonts w:ascii="Times" w:hAnsi="Times"/>
          <w:sz w:val="24"/>
          <w:szCs w:val="24"/>
        </w:rPr>
        <w:t xml:space="preserve">other than </w:t>
      </w:r>
      <w:r w:rsidRPr="00A36839">
        <w:rPr>
          <w:rFonts w:ascii="Times" w:hAnsi="Times"/>
          <w:sz w:val="24"/>
          <w:szCs w:val="24"/>
        </w:rPr>
        <w:t>WHMs) have entered the agricultural workforce since the early 2000s.</w:t>
      </w:r>
    </w:p>
    <w:p w14:paraId="33FE2863" w14:textId="77777777" w:rsidR="00A36839" w:rsidRPr="00A36839" w:rsidRDefault="008F5377">
      <w:pPr>
        <w:rPr>
          <w:rFonts w:ascii="Times" w:hAnsi="Times"/>
          <w:sz w:val="24"/>
          <w:szCs w:val="24"/>
        </w:rPr>
      </w:pPr>
      <w:r w:rsidRPr="00A36839">
        <w:rPr>
          <w:rFonts w:ascii="Times" w:hAnsi="Times"/>
          <w:sz w:val="24"/>
          <w:szCs w:val="24"/>
        </w:rPr>
        <w:t xml:space="preserve">The Senate Inquiry into temporary migration, which reported in 2016 </w:t>
      </w:r>
      <w:r w:rsidR="002A6CF0" w:rsidRPr="00A36839">
        <w:rPr>
          <w:rFonts w:ascii="Times" w:hAnsi="Times"/>
          <w:sz w:val="24"/>
          <w:szCs w:val="24"/>
        </w:rPr>
        <w:t>(</w:t>
      </w:r>
      <w:r w:rsidR="002A6CF0" w:rsidRPr="00A36839">
        <w:rPr>
          <w:rFonts w:ascii="Times" w:hAnsi="Times"/>
          <w:i/>
          <w:sz w:val="24"/>
          <w:szCs w:val="24"/>
        </w:rPr>
        <w:t>entitled A National Disgrace: The Exploitation of Temporary Work Visa Holders</w:t>
      </w:r>
      <w:r w:rsidR="002A6CF0" w:rsidRPr="00A36839">
        <w:rPr>
          <w:rFonts w:ascii="Times" w:hAnsi="Times"/>
          <w:sz w:val="24"/>
          <w:szCs w:val="24"/>
        </w:rPr>
        <w:t>)</w:t>
      </w:r>
      <w:r w:rsidR="00DD0413" w:rsidRPr="00A36839">
        <w:rPr>
          <w:rFonts w:ascii="Times" w:hAnsi="Times"/>
          <w:sz w:val="24"/>
          <w:szCs w:val="24"/>
        </w:rPr>
        <w:t>,</w:t>
      </w:r>
      <w:r w:rsidR="002A6CF0" w:rsidRPr="00A36839">
        <w:rPr>
          <w:rFonts w:ascii="Times" w:hAnsi="Times"/>
          <w:i/>
          <w:sz w:val="24"/>
          <w:szCs w:val="24"/>
        </w:rPr>
        <w:t xml:space="preserve"> </w:t>
      </w:r>
      <w:r w:rsidR="002A6CF0" w:rsidRPr="00A36839">
        <w:rPr>
          <w:rFonts w:ascii="Times" w:hAnsi="Times"/>
          <w:sz w:val="24"/>
          <w:szCs w:val="24"/>
        </w:rPr>
        <w:t xml:space="preserve">highlighted this development. Its section on the agricultural workforce noted the significant involvement of labour hire companies in mobilising this workforce. It </w:t>
      </w:r>
      <w:r w:rsidR="00224B54" w:rsidRPr="00A36839">
        <w:rPr>
          <w:rFonts w:ascii="Times" w:hAnsi="Times"/>
          <w:sz w:val="24"/>
          <w:szCs w:val="24"/>
        </w:rPr>
        <w:t xml:space="preserve">also </w:t>
      </w:r>
      <w:r w:rsidR="002A6CF0" w:rsidRPr="00A36839">
        <w:rPr>
          <w:rFonts w:ascii="Times" w:hAnsi="Times"/>
          <w:sz w:val="24"/>
          <w:szCs w:val="24"/>
        </w:rPr>
        <w:t>noted that many of these workers were recent arrivals with limited English and therefore were vulnerable to exploitation at the workplace and by the labour hire companies.</w:t>
      </w:r>
      <w:r w:rsidR="002A6CF0" w:rsidRPr="00A36839">
        <w:rPr>
          <w:rStyle w:val="EndnoteReference"/>
          <w:rFonts w:ascii="Times" w:hAnsi="Times"/>
          <w:sz w:val="24"/>
          <w:szCs w:val="24"/>
        </w:rPr>
        <w:endnoteReference w:id="13"/>
      </w:r>
    </w:p>
    <w:p w14:paraId="5D07B9FE" w14:textId="77777777" w:rsidR="00A36839" w:rsidRPr="00A36839" w:rsidRDefault="002A6CF0">
      <w:pPr>
        <w:rPr>
          <w:rFonts w:ascii="Times" w:hAnsi="Times"/>
          <w:sz w:val="24"/>
          <w:szCs w:val="24"/>
        </w:rPr>
      </w:pPr>
      <w:r w:rsidRPr="00A36839">
        <w:rPr>
          <w:rFonts w:ascii="Times" w:hAnsi="Times"/>
          <w:sz w:val="24"/>
          <w:szCs w:val="24"/>
        </w:rPr>
        <w:t>The Fair Work Ombud</w:t>
      </w:r>
      <w:r w:rsidR="00D1578A" w:rsidRPr="00A36839">
        <w:rPr>
          <w:rFonts w:ascii="Times" w:hAnsi="Times"/>
          <w:sz w:val="24"/>
          <w:szCs w:val="24"/>
        </w:rPr>
        <w:t xml:space="preserve">sman’s reports </w:t>
      </w:r>
      <w:r w:rsidR="00261F83" w:rsidRPr="00A36839">
        <w:rPr>
          <w:rFonts w:ascii="Times" w:hAnsi="Times"/>
          <w:sz w:val="24"/>
          <w:szCs w:val="24"/>
        </w:rPr>
        <w:t xml:space="preserve">on working conditions </w:t>
      </w:r>
      <w:r w:rsidR="00D1578A" w:rsidRPr="00A36839">
        <w:rPr>
          <w:rFonts w:ascii="Times" w:hAnsi="Times"/>
          <w:sz w:val="24"/>
          <w:szCs w:val="24"/>
        </w:rPr>
        <w:t xml:space="preserve">along the harvest trail have provided copious detail on the extent of the exploitation (relative to </w:t>
      </w:r>
      <w:r w:rsidR="00261F83" w:rsidRPr="00A36839">
        <w:rPr>
          <w:rFonts w:ascii="Times" w:hAnsi="Times"/>
          <w:sz w:val="24"/>
          <w:szCs w:val="24"/>
        </w:rPr>
        <w:t xml:space="preserve">the official </w:t>
      </w:r>
      <w:r w:rsidR="00D1578A" w:rsidRPr="00A36839">
        <w:rPr>
          <w:rFonts w:ascii="Times" w:hAnsi="Times"/>
          <w:sz w:val="24"/>
          <w:szCs w:val="24"/>
        </w:rPr>
        <w:t>Australia</w:t>
      </w:r>
      <w:r w:rsidR="00261F83" w:rsidRPr="00A36839">
        <w:rPr>
          <w:rFonts w:ascii="Times" w:hAnsi="Times"/>
          <w:sz w:val="24"/>
          <w:szCs w:val="24"/>
        </w:rPr>
        <w:t>n</w:t>
      </w:r>
      <w:r w:rsidR="00D1578A" w:rsidRPr="00A36839">
        <w:rPr>
          <w:rFonts w:ascii="Times" w:hAnsi="Times"/>
          <w:sz w:val="24"/>
          <w:szCs w:val="24"/>
        </w:rPr>
        <w:t xml:space="preserve"> agricultural workplace rules).</w:t>
      </w:r>
      <w:r w:rsidR="00D1578A" w:rsidRPr="00A36839">
        <w:rPr>
          <w:rStyle w:val="EndnoteReference"/>
          <w:rFonts w:ascii="Times" w:hAnsi="Times"/>
          <w:sz w:val="24"/>
          <w:szCs w:val="24"/>
        </w:rPr>
        <w:endnoteReference w:id="14"/>
      </w:r>
    </w:p>
    <w:p w14:paraId="4515BE65" w14:textId="38602F6A" w:rsidR="00A36839" w:rsidRPr="00A36839" w:rsidRDefault="00D1578A">
      <w:pPr>
        <w:rPr>
          <w:rFonts w:ascii="Times" w:hAnsi="Times"/>
          <w:sz w:val="24"/>
          <w:szCs w:val="24"/>
        </w:rPr>
      </w:pPr>
      <w:r w:rsidRPr="00A36839">
        <w:rPr>
          <w:rFonts w:ascii="Times" w:hAnsi="Times"/>
          <w:sz w:val="24"/>
          <w:szCs w:val="24"/>
        </w:rPr>
        <w:t xml:space="preserve">The most systematic account of the scale of other temporary migrant employment in agriculture, </w:t>
      </w:r>
      <w:r w:rsidR="00261F83" w:rsidRPr="00A36839">
        <w:rPr>
          <w:rFonts w:ascii="Times" w:hAnsi="Times"/>
          <w:sz w:val="24"/>
          <w:szCs w:val="24"/>
        </w:rPr>
        <w:t xml:space="preserve">as well as </w:t>
      </w:r>
      <w:r w:rsidRPr="00A36839">
        <w:rPr>
          <w:rFonts w:ascii="Times" w:hAnsi="Times"/>
          <w:sz w:val="24"/>
          <w:szCs w:val="24"/>
        </w:rPr>
        <w:t>the extent to which these workers are exploited</w:t>
      </w:r>
      <w:r w:rsidR="00DD0413" w:rsidRPr="00A36839">
        <w:rPr>
          <w:rFonts w:ascii="Times" w:hAnsi="Times"/>
          <w:sz w:val="24"/>
          <w:szCs w:val="24"/>
        </w:rPr>
        <w:t>,</w:t>
      </w:r>
      <w:r w:rsidRPr="00A36839">
        <w:rPr>
          <w:rFonts w:ascii="Times" w:hAnsi="Times"/>
          <w:sz w:val="24"/>
          <w:szCs w:val="24"/>
        </w:rPr>
        <w:t xml:space="preserve"> has been provided by Joanna Howe and her colleagues.</w:t>
      </w:r>
      <w:r w:rsidRPr="00A36839">
        <w:rPr>
          <w:rStyle w:val="EndnoteReference"/>
          <w:rFonts w:ascii="Times" w:hAnsi="Times"/>
          <w:sz w:val="24"/>
          <w:szCs w:val="24"/>
        </w:rPr>
        <w:endnoteReference w:id="15"/>
      </w:r>
    </w:p>
    <w:p w14:paraId="69C72A6B" w14:textId="7A2052CF" w:rsidR="00B65DA1" w:rsidRPr="00A36839" w:rsidRDefault="00B65DA1" w:rsidP="00B65DA1">
      <w:pPr>
        <w:rPr>
          <w:rFonts w:ascii="Times" w:hAnsi="Times"/>
          <w:sz w:val="24"/>
          <w:szCs w:val="24"/>
        </w:rPr>
      </w:pPr>
      <w:r w:rsidRPr="00A36839">
        <w:rPr>
          <w:rFonts w:ascii="Times" w:hAnsi="Times"/>
          <w:sz w:val="24"/>
          <w:szCs w:val="24"/>
        </w:rPr>
        <w:t>Patrice Newell provides a vivid account on her recent reliance on this workforce in harvesting her garlic crop. Her deliverance was provided by a labour hire company which delivered a team of two women and four men from Thailand and Myanmar. She notes that ‘only the supervisor spoke English’ and that she communicated with them by mime. However they did work hard and appear to have got the job done.</w:t>
      </w:r>
      <w:r w:rsidRPr="00A36839">
        <w:rPr>
          <w:rStyle w:val="EndnoteReference"/>
          <w:rFonts w:ascii="Times" w:hAnsi="Times"/>
          <w:sz w:val="24"/>
          <w:szCs w:val="24"/>
        </w:rPr>
        <w:endnoteReference w:id="16"/>
      </w:r>
    </w:p>
    <w:p w14:paraId="429D077B" w14:textId="6508EF0B" w:rsidR="00415FE4" w:rsidRPr="00A36839" w:rsidRDefault="00B65DA1">
      <w:pPr>
        <w:rPr>
          <w:rFonts w:ascii="Times" w:hAnsi="Times"/>
          <w:sz w:val="24"/>
          <w:szCs w:val="24"/>
        </w:rPr>
      </w:pPr>
      <w:r w:rsidRPr="00A36839">
        <w:rPr>
          <w:rFonts w:ascii="Times" w:hAnsi="Times"/>
          <w:sz w:val="24"/>
          <w:szCs w:val="24"/>
        </w:rPr>
        <w:t>Howe and her colleagues re</w:t>
      </w:r>
      <w:r w:rsidR="0031061C" w:rsidRPr="00A36839">
        <w:rPr>
          <w:rFonts w:ascii="Times" w:hAnsi="Times"/>
          <w:sz w:val="24"/>
          <w:szCs w:val="24"/>
        </w:rPr>
        <w:t xml:space="preserve">fer to these workers as </w:t>
      </w:r>
      <w:r w:rsidR="009F0A07" w:rsidRPr="00A36839">
        <w:rPr>
          <w:rFonts w:ascii="Times" w:hAnsi="Times"/>
          <w:sz w:val="24"/>
          <w:szCs w:val="24"/>
        </w:rPr>
        <w:t>‘undocumented workers’</w:t>
      </w:r>
      <w:r w:rsidR="00261F83" w:rsidRPr="00A36839">
        <w:rPr>
          <w:rFonts w:ascii="Times" w:hAnsi="Times"/>
          <w:sz w:val="24"/>
          <w:szCs w:val="24"/>
        </w:rPr>
        <w:t>.</w:t>
      </w:r>
      <w:r w:rsidR="009F0A07" w:rsidRPr="00A36839">
        <w:rPr>
          <w:rFonts w:ascii="Times" w:hAnsi="Times"/>
          <w:sz w:val="24"/>
          <w:szCs w:val="24"/>
        </w:rPr>
        <w:t xml:space="preserve"> This </w:t>
      </w:r>
      <w:r w:rsidR="0031061C" w:rsidRPr="00A36839">
        <w:rPr>
          <w:rFonts w:ascii="Times" w:hAnsi="Times"/>
          <w:sz w:val="24"/>
          <w:szCs w:val="24"/>
        </w:rPr>
        <w:t xml:space="preserve">is a catch-all label which includes foreign workers </w:t>
      </w:r>
      <w:r w:rsidR="009F0A07" w:rsidRPr="00A36839">
        <w:rPr>
          <w:rFonts w:ascii="Times" w:hAnsi="Times"/>
          <w:sz w:val="24"/>
          <w:szCs w:val="24"/>
        </w:rPr>
        <w:t>who have overstayed</w:t>
      </w:r>
      <w:r w:rsidR="0031061C" w:rsidRPr="00A36839">
        <w:rPr>
          <w:rFonts w:ascii="Times" w:hAnsi="Times"/>
          <w:sz w:val="24"/>
          <w:szCs w:val="24"/>
        </w:rPr>
        <w:t xml:space="preserve"> their visas as well as those (notably visitors) who are </w:t>
      </w:r>
      <w:r w:rsidR="00E57697" w:rsidRPr="00A36839">
        <w:rPr>
          <w:rFonts w:ascii="Times" w:hAnsi="Times"/>
          <w:sz w:val="24"/>
          <w:szCs w:val="24"/>
        </w:rPr>
        <w:t xml:space="preserve">working despite being prohibited from doing so while in </w:t>
      </w:r>
      <w:r w:rsidR="0031061C" w:rsidRPr="00A36839">
        <w:rPr>
          <w:rFonts w:ascii="Times" w:hAnsi="Times"/>
          <w:sz w:val="24"/>
          <w:szCs w:val="24"/>
        </w:rPr>
        <w:t>Australia and students who</w:t>
      </w:r>
      <w:r w:rsidR="00DD0413" w:rsidRPr="00A36839">
        <w:rPr>
          <w:rFonts w:ascii="Times" w:hAnsi="Times"/>
          <w:sz w:val="24"/>
          <w:szCs w:val="24"/>
        </w:rPr>
        <w:t>,</w:t>
      </w:r>
      <w:r w:rsidR="0031061C" w:rsidRPr="00A36839">
        <w:rPr>
          <w:rFonts w:ascii="Times" w:hAnsi="Times"/>
          <w:sz w:val="24"/>
          <w:szCs w:val="24"/>
        </w:rPr>
        <w:t xml:space="preserve"> though they have work rights (40 hours a fortnight while studying)</w:t>
      </w:r>
      <w:r w:rsidR="00DD0413" w:rsidRPr="00A36839">
        <w:rPr>
          <w:rFonts w:ascii="Times" w:hAnsi="Times"/>
          <w:sz w:val="24"/>
          <w:szCs w:val="24"/>
        </w:rPr>
        <w:t>,</w:t>
      </w:r>
      <w:r w:rsidR="0031061C" w:rsidRPr="00A36839">
        <w:rPr>
          <w:rFonts w:ascii="Times" w:hAnsi="Times"/>
          <w:sz w:val="24"/>
          <w:szCs w:val="24"/>
        </w:rPr>
        <w:t xml:space="preserve"> are working many more hours </w:t>
      </w:r>
      <w:r w:rsidR="00261F83" w:rsidRPr="00A36839">
        <w:rPr>
          <w:rFonts w:ascii="Times" w:hAnsi="Times"/>
          <w:sz w:val="24"/>
          <w:szCs w:val="24"/>
        </w:rPr>
        <w:t xml:space="preserve">than this </w:t>
      </w:r>
      <w:r w:rsidR="0031061C" w:rsidRPr="00A36839">
        <w:rPr>
          <w:rFonts w:ascii="Times" w:hAnsi="Times"/>
          <w:sz w:val="24"/>
          <w:szCs w:val="24"/>
        </w:rPr>
        <w:t>or are absent from the educational institutions they are enrolled in.</w:t>
      </w:r>
      <w:r w:rsidR="0031061C" w:rsidRPr="00A36839">
        <w:rPr>
          <w:rStyle w:val="EndnoteReference"/>
          <w:rFonts w:ascii="Times" w:hAnsi="Times"/>
          <w:sz w:val="24"/>
          <w:szCs w:val="24"/>
        </w:rPr>
        <w:endnoteReference w:id="17"/>
      </w:r>
      <w:r w:rsidR="0031061C" w:rsidRPr="00A36839">
        <w:rPr>
          <w:rFonts w:ascii="Times" w:hAnsi="Times"/>
          <w:sz w:val="24"/>
          <w:szCs w:val="24"/>
        </w:rPr>
        <w:t xml:space="preserve"> Howe and her colleagues</w:t>
      </w:r>
      <w:r w:rsidR="00261F83" w:rsidRPr="00A36839">
        <w:rPr>
          <w:rFonts w:ascii="Times" w:hAnsi="Times"/>
          <w:sz w:val="24"/>
          <w:szCs w:val="24"/>
        </w:rPr>
        <w:t xml:space="preserve"> also note </w:t>
      </w:r>
      <w:r w:rsidR="0031061C" w:rsidRPr="00A36839">
        <w:rPr>
          <w:rFonts w:ascii="Times" w:hAnsi="Times"/>
          <w:sz w:val="24"/>
          <w:szCs w:val="24"/>
        </w:rPr>
        <w:t>the important role of labour hi</w:t>
      </w:r>
      <w:r w:rsidR="00D106ED" w:rsidRPr="00A36839">
        <w:rPr>
          <w:rFonts w:ascii="Times" w:hAnsi="Times"/>
          <w:sz w:val="24"/>
          <w:szCs w:val="24"/>
        </w:rPr>
        <w:t>re</w:t>
      </w:r>
      <w:r w:rsidR="0031061C" w:rsidRPr="00A36839">
        <w:rPr>
          <w:rFonts w:ascii="Times" w:hAnsi="Times"/>
          <w:sz w:val="24"/>
          <w:szCs w:val="24"/>
        </w:rPr>
        <w:t xml:space="preserve"> organisations in mobilising this workforce.</w:t>
      </w:r>
    </w:p>
    <w:p w14:paraId="267C8A91" w14:textId="77777777" w:rsidR="00A36839" w:rsidRPr="00A36839" w:rsidRDefault="005A5B6F">
      <w:pPr>
        <w:rPr>
          <w:rFonts w:ascii="Times" w:hAnsi="Times"/>
          <w:sz w:val="24"/>
          <w:szCs w:val="24"/>
        </w:rPr>
      </w:pPr>
      <w:r w:rsidRPr="00A36839">
        <w:rPr>
          <w:rFonts w:ascii="Times" w:hAnsi="Times"/>
          <w:sz w:val="24"/>
          <w:szCs w:val="24"/>
        </w:rPr>
        <w:t xml:space="preserve">I </w:t>
      </w:r>
      <w:r w:rsidR="00B65DA1" w:rsidRPr="00A36839">
        <w:rPr>
          <w:rFonts w:ascii="Times" w:hAnsi="Times"/>
          <w:sz w:val="24"/>
          <w:szCs w:val="24"/>
        </w:rPr>
        <w:t xml:space="preserve">prefer not to use </w:t>
      </w:r>
      <w:r w:rsidRPr="00A36839">
        <w:rPr>
          <w:rFonts w:ascii="Times" w:hAnsi="Times"/>
          <w:sz w:val="24"/>
          <w:szCs w:val="24"/>
        </w:rPr>
        <w:t xml:space="preserve">the ‘undocumented’ tag. It derives from the US where it refers to persons who have entered the US illegally – usually by simply walking across the Mexico-US border. What is distinctive about the recent wave of temporary migrants (students, visitors and others) </w:t>
      </w:r>
      <w:r w:rsidR="00B65DA1" w:rsidRPr="00A36839">
        <w:rPr>
          <w:rFonts w:ascii="Times" w:hAnsi="Times"/>
          <w:sz w:val="24"/>
          <w:szCs w:val="24"/>
        </w:rPr>
        <w:t xml:space="preserve">involved in horticulture </w:t>
      </w:r>
      <w:r w:rsidR="00032BF0" w:rsidRPr="00A36839">
        <w:rPr>
          <w:rFonts w:ascii="Times" w:hAnsi="Times"/>
          <w:sz w:val="24"/>
          <w:szCs w:val="24"/>
        </w:rPr>
        <w:t xml:space="preserve">in Australia </w:t>
      </w:r>
      <w:r w:rsidRPr="00A36839">
        <w:rPr>
          <w:rFonts w:ascii="Times" w:hAnsi="Times"/>
          <w:sz w:val="24"/>
          <w:szCs w:val="24"/>
        </w:rPr>
        <w:t xml:space="preserve">is that </w:t>
      </w:r>
      <w:r w:rsidR="00F55983" w:rsidRPr="00A36839">
        <w:rPr>
          <w:rFonts w:ascii="Times" w:hAnsi="Times"/>
          <w:sz w:val="24"/>
          <w:szCs w:val="24"/>
        </w:rPr>
        <w:t xml:space="preserve">they mostly came here legally and were encouraged to do so </w:t>
      </w:r>
      <w:r w:rsidR="00032BF0" w:rsidRPr="00A36839">
        <w:rPr>
          <w:rFonts w:ascii="Times" w:hAnsi="Times"/>
          <w:sz w:val="24"/>
          <w:szCs w:val="24"/>
        </w:rPr>
        <w:t>by virtue of being granted limited access to the Australian labour market. Once here many have violated the rules they are supposed to follow regarding this access.</w:t>
      </w:r>
    </w:p>
    <w:p w14:paraId="0B9AC8B5" w14:textId="6E35F172" w:rsidR="00477817" w:rsidRPr="00A36839" w:rsidRDefault="00B65DA1" w:rsidP="00A36839">
      <w:pPr>
        <w:pStyle w:val="Heading2"/>
      </w:pPr>
      <w:bookmarkStart w:id="14" w:name="_Toc46319546"/>
      <w:bookmarkStart w:id="15" w:name="_Toc46319732"/>
      <w:r w:rsidRPr="00A36839">
        <w:t>The rise in the other temporary migrant contribution to horticultural work</w:t>
      </w:r>
      <w:bookmarkEnd w:id="14"/>
      <w:bookmarkEnd w:id="15"/>
    </w:p>
    <w:p w14:paraId="69058889" w14:textId="4DCB88B9" w:rsidR="00415FE4" w:rsidRPr="00A36839" w:rsidRDefault="006E57A1">
      <w:pPr>
        <w:rPr>
          <w:rFonts w:ascii="Times" w:hAnsi="Times"/>
          <w:sz w:val="24"/>
          <w:szCs w:val="24"/>
        </w:rPr>
      </w:pPr>
      <w:r w:rsidRPr="00A36839">
        <w:rPr>
          <w:rFonts w:ascii="Times" w:hAnsi="Times"/>
          <w:sz w:val="24"/>
          <w:szCs w:val="24"/>
        </w:rPr>
        <w:t xml:space="preserve">By </w:t>
      </w:r>
      <w:r w:rsidR="00EE6A57" w:rsidRPr="00A36839">
        <w:rPr>
          <w:rFonts w:ascii="Times" w:hAnsi="Times"/>
          <w:sz w:val="24"/>
          <w:szCs w:val="24"/>
        </w:rPr>
        <w:t xml:space="preserve">December 2019 </w:t>
      </w:r>
      <w:r w:rsidRPr="00A36839">
        <w:rPr>
          <w:rFonts w:ascii="Times" w:hAnsi="Times"/>
          <w:sz w:val="24"/>
          <w:szCs w:val="24"/>
        </w:rPr>
        <w:t xml:space="preserve">there were </w:t>
      </w:r>
      <w:r w:rsidR="00EE6A57" w:rsidRPr="00A36839">
        <w:rPr>
          <w:rFonts w:ascii="Times" w:hAnsi="Times"/>
          <w:sz w:val="24"/>
          <w:szCs w:val="24"/>
        </w:rPr>
        <w:t>2.4 million</w:t>
      </w:r>
      <w:r w:rsidRPr="00A36839">
        <w:rPr>
          <w:rFonts w:ascii="Times" w:hAnsi="Times"/>
          <w:sz w:val="24"/>
          <w:szCs w:val="24"/>
        </w:rPr>
        <w:t xml:space="preserve"> temporary migrant visa holders in Australia, up from </w:t>
      </w:r>
      <w:r w:rsidR="00EE6A57" w:rsidRPr="00A36839">
        <w:rPr>
          <w:rFonts w:ascii="Times" w:hAnsi="Times"/>
          <w:sz w:val="24"/>
          <w:szCs w:val="24"/>
        </w:rPr>
        <w:t xml:space="preserve">1.8 million as of December 2013. The </w:t>
      </w:r>
      <w:r w:rsidR="00FC6542" w:rsidRPr="00A36839">
        <w:rPr>
          <w:rFonts w:ascii="Times" w:hAnsi="Times"/>
          <w:sz w:val="24"/>
          <w:szCs w:val="24"/>
        </w:rPr>
        <w:t xml:space="preserve">main source of this growth was overseas students </w:t>
      </w:r>
      <w:r w:rsidR="00EE6A57" w:rsidRPr="00A36839">
        <w:rPr>
          <w:rFonts w:ascii="Times" w:hAnsi="Times"/>
          <w:sz w:val="24"/>
          <w:szCs w:val="24"/>
        </w:rPr>
        <w:t>(</w:t>
      </w:r>
      <w:r w:rsidR="00E91578" w:rsidRPr="00A36839">
        <w:rPr>
          <w:rFonts w:ascii="Times" w:hAnsi="Times"/>
          <w:sz w:val="24"/>
          <w:szCs w:val="24"/>
        </w:rPr>
        <w:t xml:space="preserve">whose numbers grew </w:t>
      </w:r>
      <w:r w:rsidR="00EE6A57" w:rsidRPr="00A36839">
        <w:rPr>
          <w:rFonts w:ascii="Times" w:hAnsi="Times"/>
          <w:sz w:val="24"/>
          <w:szCs w:val="24"/>
        </w:rPr>
        <w:t>from 258,000 to 480,543</w:t>
      </w:r>
      <w:r w:rsidR="00E91578" w:rsidRPr="00A36839">
        <w:rPr>
          <w:rFonts w:ascii="Times" w:hAnsi="Times"/>
          <w:sz w:val="24"/>
          <w:szCs w:val="24"/>
        </w:rPr>
        <w:t xml:space="preserve"> over this six year period</w:t>
      </w:r>
      <w:r w:rsidR="00EE6A57" w:rsidRPr="00A36839">
        <w:rPr>
          <w:rFonts w:ascii="Times" w:hAnsi="Times"/>
          <w:sz w:val="24"/>
          <w:szCs w:val="24"/>
        </w:rPr>
        <w:t>)</w:t>
      </w:r>
      <w:r w:rsidR="00DD0413" w:rsidRPr="00A36839">
        <w:rPr>
          <w:rFonts w:ascii="Times" w:hAnsi="Times"/>
          <w:sz w:val="24"/>
          <w:szCs w:val="24"/>
        </w:rPr>
        <w:t>. As well</w:t>
      </w:r>
      <w:r w:rsidR="00E57697" w:rsidRPr="00A36839">
        <w:rPr>
          <w:rFonts w:ascii="Times" w:hAnsi="Times"/>
          <w:sz w:val="24"/>
          <w:szCs w:val="24"/>
        </w:rPr>
        <w:t>,</w:t>
      </w:r>
      <w:r w:rsidR="00EE6A57" w:rsidRPr="00A36839">
        <w:rPr>
          <w:rFonts w:ascii="Times" w:hAnsi="Times"/>
          <w:sz w:val="24"/>
          <w:szCs w:val="24"/>
        </w:rPr>
        <w:t xml:space="preserve"> th</w:t>
      </w:r>
      <w:r w:rsidR="00FC6542" w:rsidRPr="00A36839">
        <w:rPr>
          <w:rFonts w:ascii="Times" w:hAnsi="Times"/>
          <w:sz w:val="24"/>
          <w:szCs w:val="24"/>
        </w:rPr>
        <w:t xml:space="preserve">ere were also significant increases in the number of visitors and </w:t>
      </w:r>
      <w:r w:rsidR="00E57697" w:rsidRPr="00A36839">
        <w:rPr>
          <w:rFonts w:ascii="Times" w:hAnsi="Times"/>
          <w:sz w:val="24"/>
          <w:szCs w:val="24"/>
        </w:rPr>
        <w:t xml:space="preserve">those </w:t>
      </w:r>
      <w:r w:rsidR="00EE6A57" w:rsidRPr="00A36839">
        <w:rPr>
          <w:rFonts w:ascii="Times" w:hAnsi="Times"/>
          <w:sz w:val="24"/>
          <w:szCs w:val="24"/>
        </w:rPr>
        <w:t>bridging visa</w:t>
      </w:r>
      <w:r w:rsidR="00FC6542" w:rsidRPr="00A36839">
        <w:rPr>
          <w:rFonts w:ascii="Times" w:hAnsi="Times"/>
          <w:sz w:val="24"/>
          <w:szCs w:val="24"/>
        </w:rPr>
        <w:t xml:space="preserve"> holders. Aside from the visitors most of these temporary visa holders had </w:t>
      </w:r>
      <w:r w:rsidR="00E57697" w:rsidRPr="00A36839">
        <w:rPr>
          <w:rFonts w:ascii="Times" w:hAnsi="Times"/>
          <w:sz w:val="24"/>
          <w:szCs w:val="24"/>
        </w:rPr>
        <w:t xml:space="preserve">some </w:t>
      </w:r>
      <w:r w:rsidR="00FC6542" w:rsidRPr="00A36839">
        <w:rPr>
          <w:rFonts w:ascii="Times" w:hAnsi="Times"/>
          <w:sz w:val="24"/>
          <w:szCs w:val="24"/>
        </w:rPr>
        <w:t>work rights.</w:t>
      </w:r>
    </w:p>
    <w:p w14:paraId="510E2BEA" w14:textId="77777777" w:rsidR="00A36839" w:rsidRPr="00A36839" w:rsidRDefault="00FA4B65" w:rsidP="00FA4B65">
      <w:pPr>
        <w:rPr>
          <w:rFonts w:ascii="Times" w:hAnsi="Times"/>
          <w:sz w:val="24"/>
          <w:szCs w:val="24"/>
        </w:rPr>
      </w:pPr>
      <w:r w:rsidRPr="00A36839">
        <w:rPr>
          <w:rFonts w:ascii="Times" w:hAnsi="Times"/>
          <w:sz w:val="24"/>
          <w:szCs w:val="24"/>
        </w:rPr>
        <w:t>Th</w:t>
      </w:r>
      <w:r w:rsidR="00E91578" w:rsidRPr="00A36839">
        <w:rPr>
          <w:rFonts w:ascii="Times" w:hAnsi="Times"/>
          <w:sz w:val="24"/>
          <w:szCs w:val="24"/>
        </w:rPr>
        <w:t xml:space="preserve">is outcome </w:t>
      </w:r>
      <w:r w:rsidRPr="00A36839">
        <w:rPr>
          <w:rFonts w:ascii="Times" w:hAnsi="Times"/>
          <w:sz w:val="24"/>
          <w:szCs w:val="24"/>
        </w:rPr>
        <w:t xml:space="preserve">reflects </w:t>
      </w:r>
      <w:r w:rsidR="00E91578" w:rsidRPr="00A36839">
        <w:rPr>
          <w:rFonts w:ascii="Times" w:hAnsi="Times"/>
          <w:sz w:val="24"/>
          <w:szCs w:val="24"/>
        </w:rPr>
        <w:t xml:space="preserve">successive decisions of Australian </w:t>
      </w:r>
      <w:r w:rsidRPr="00A36839">
        <w:rPr>
          <w:rFonts w:ascii="Times" w:hAnsi="Times"/>
          <w:sz w:val="24"/>
          <w:szCs w:val="24"/>
        </w:rPr>
        <w:t>government</w:t>
      </w:r>
      <w:r w:rsidR="00E91578" w:rsidRPr="00A36839">
        <w:rPr>
          <w:rFonts w:ascii="Times" w:hAnsi="Times"/>
          <w:sz w:val="24"/>
          <w:szCs w:val="24"/>
        </w:rPr>
        <w:t>s</w:t>
      </w:r>
      <w:r w:rsidRPr="00A36839">
        <w:rPr>
          <w:rFonts w:ascii="Times" w:hAnsi="Times"/>
          <w:sz w:val="24"/>
          <w:szCs w:val="24"/>
        </w:rPr>
        <w:t xml:space="preserve">, starting in </w:t>
      </w:r>
      <w:r w:rsidR="00E91578" w:rsidRPr="00A36839">
        <w:rPr>
          <w:rFonts w:ascii="Times" w:hAnsi="Times"/>
          <w:sz w:val="24"/>
          <w:szCs w:val="24"/>
        </w:rPr>
        <w:t xml:space="preserve">the </w:t>
      </w:r>
      <w:r w:rsidRPr="00A36839">
        <w:rPr>
          <w:rFonts w:ascii="Times" w:hAnsi="Times"/>
          <w:sz w:val="24"/>
          <w:szCs w:val="24"/>
        </w:rPr>
        <w:t>mid-1990s</w:t>
      </w:r>
      <w:r w:rsidR="00DD0413" w:rsidRPr="00A36839">
        <w:rPr>
          <w:rFonts w:ascii="Times" w:hAnsi="Times"/>
          <w:sz w:val="24"/>
          <w:szCs w:val="24"/>
        </w:rPr>
        <w:t>,</w:t>
      </w:r>
      <w:r w:rsidRPr="00A36839">
        <w:rPr>
          <w:rFonts w:ascii="Times" w:hAnsi="Times"/>
          <w:sz w:val="24"/>
          <w:szCs w:val="24"/>
        </w:rPr>
        <w:t xml:space="preserve"> to expand </w:t>
      </w:r>
      <w:r w:rsidR="00E91578" w:rsidRPr="00A36839">
        <w:rPr>
          <w:rFonts w:ascii="Times" w:hAnsi="Times"/>
          <w:sz w:val="24"/>
          <w:szCs w:val="24"/>
        </w:rPr>
        <w:t xml:space="preserve">opportunities for </w:t>
      </w:r>
      <w:r w:rsidRPr="00A36839">
        <w:rPr>
          <w:rFonts w:ascii="Times" w:hAnsi="Times"/>
          <w:sz w:val="24"/>
          <w:szCs w:val="24"/>
        </w:rPr>
        <w:t xml:space="preserve">migrants on temporary visas </w:t>
      </w:r>
      <w:r w:rsidR="00E91578" w:rsidRPr="00A36839">
        <w:rPr>
          <w:rFonts w:ascii="Times" w:hAnsi="Times"/>
          <w:sz w:val="24"/>
          <w:szCs w:val="24"/>
        </w:rPr>
        <w:t>to work i</w:t>
      </w:r>
      <w:r w:rsidRPr="00A36839">
        <w:rPr>
          <w:rFonts w:ascii="Times" w:hAnsi="Times"/>
          <w:sz w:val="24"/>
          <w:szCs w:val="24"/>
        </w:rPr>
        <w:t xml:space="preserve">n Australia. The </w:t>
      </w:r>
      <w:r w:rsidR="00E91578" w:rsidRPr="00A36839">
        <w:rPr>
          <w:rFonts w:ascii="Times" w:hAnsi="Times"/>
          <w:sz w:val="24"/>
          <w:szCs w:val="24"/>
        </w:rPr>
        <w:t>rationale for these decisions w</w:t>
      </w:r>
      <w:r w:rsidRPr="00A36839">
        <w:rPr>
          <w:rFonts w:ascii="Times" w:hAnsi="Times"/>
          <w:sz w:val="24"/>
          <w:szCs w:val="24"/>
        </w:rPr>
        <w:t>as that</w:t>
      </w:r>
      <w:r w:rsidR="00DD0413" w:rsidRPr="00A36839">
        <w:rPr>
          <w:rFonts w:ascii="Times" w:hAnsi="Times"/>
          <w:sz w:val="24"/>
          <w:szCs w:val="24"/>
        </w:rPr>
        <w:t>,</w:t>
      </w:r>
      <w:r w:rsidRPr="00A36839">
        <w:rPr>
          <w:rFonts w:ascii="Times" w:hAnsi="Times"/>
          <w:sz w:val="24"/>
          <w:szCs w:val="24"/>
        </w:rPr>
        <w:t xml:space="preserve"> with Australian enterprises being pressed to compete in </w:t>
      </w:r>
      <w:r w:rsidRPr="00A36839">
        <w:rPr>
          <w:rFonts w:ascii="Times" w:hAnsi="Times"/>
          <w:sz w:val="24"/>
          <w:szCs w:val="24"/>
        </w:rPr>
        <w:lastRenderedPageBreak/>
        <w:t xml:space="preserve">the international marketplace, they should </w:t>
      </w:r>
      <w:r w:rsidR="00E91578" w:rsidRPr="00A36839">
        <w:rPr>
          <w:rFonts w:ascii="Times" w:hAnsi="Times"/>
          <w:sz w:val="24"/>
          <w:szCs w:val="24"/>
        </w:rPr>
        <w:t xml:space="preserve">have more </w:t>
      </w:r>
      <w:r w:rsidRPr="00A36839">
        <w:rPr>
          <w:rFonts w:ascii="Times" w:hAnsi="Times"/>
          <w:sz w:val="24"/>
          <w:szCs w:val="24"/>
        </w:rPr>
        <w:t xml:space="preserve">access </w:t>
      </w:r>
      <w:r w:rsidR="00E57697" w:rsidRPr="00A36839">
        <w:rPr>
          <w:rFonts w:ascii="Times" w:hAnsi="Times"/>
          <w:sz w:val="24"/>
          <w:szCs w:val="24"/>
        </w:rPr>
        <w:t xml:space="preserve">to </w:t>
      </w:r>
      <w:r w:rsidRPr="00A36839">
        <w:rPr>
          <w:rFonts w:ascii="Times" w:hAnsi="Times"/>
          <w:sz w:val="24"/>
          <w:szCs w:val="24"/>
        </w:rPr>
        <w:t xml:space="preserve">scarce workers from overseas </w:t>
      </w:r>
      <w:r w:rsidR="00E57697" w:rsidRPr="00A36839">
        <w:rPr>
          <w:rFonts w:ascii="Times" w:hAnsi="Times"/>
          <w:sz w:val="24"/>
          <w:szCs w:val="24"/>
        </w:rPr>
        <w:t xml:space="preserve">in order to </w:t>
      </w:r>
      <w:r w:rsidR="00032BF0" w:rsidRPr="00A36839">
        <w:rPr>
          <w:rFonts w:ascii="Times" w:hAnsi="Times"/>
          <w:sz w:val="24"/>
          <w:szCs w:val="24"/>
        </w:rPr>
        <w:t>become more competitive</w:t>
      </w:r>
      <w:r w:rsidRPr="00A36839">
        <w:rPr>
          <w:rFonts w:ascii="Times" w:hAnsi="Times"/>
          <w:sz w:val="24"/>
          <w:szCs w:val="24"/>
        </w:rPr>
        <w:t>.</w:t>
      </w:r>
    </w:p>
    <w:p w14:paraId="178D7CDD" w14:textId="0C771FDD" w:rsidR="00415FE4" w:rsidRPr="00A36839" w:rsidRDefault="00FA4B65" w:rsidP="00FA4B65">
      <w:pPr>
        <w:rPr>
          <w:rFonts w:ascii="Times" w:hAnsi="Times"/>
          <w:sz w:val="24"/>
          <w:szCs w:val="24"/>
        </w:rPr>
      </w:pPr>
      <w:r w:rsidRPr="00A36839">
        <w:rPr>
          <w:rFonts w:ascii="Times" w:hAnsi="Times"/>
          <w:sz w:val="24"/>
          <w:szCs w:val="24"/>
        </w:rPr>
        <w:t xml:space="preserve">The first </w:t>
      </w:r>
      <w:r w:rsidR="00E57697" w:rsidRPr="00A36839">
        <w:rPr>
          <w:rFonts w:ascii="Times" w:hAnsi="Times"/>
          <w:sz w:val="24"/>
          <w:szCs w:val="24"/>
        </w:rPr>
        <w:t xml:space="preserve">major </w:t>
      </w:r>
      <w:r w:rsidRPr="00A36839">
        <w:rPr>
          <w:rFonts w:ascii="Times" w:hAnsi="Times"/>
          <w:sz w:val="24"/>
          <w:szCs w:val="24"/>
        </w:rPr>
        <w:t>initiative along these lines</w:t>
      </w:r>
      <w:r w:rsidR="004D7981" w:rsidRPr="00A36839">
        <w:rPr>
          <w:rFonts w:ascii="Times" w:hAnsi="Times"/>
          <w:sz w:val="24"/>
          <w:szCs w:val="24"/>
        </w:rPr>
        <w:t xml:space="preserve">, in 1996, </w:t>
      </w:r>
      <w:r w:rsidRPr="00A36839">
        <w:rPr>
          <w:rFonts w:ascii="Times" w:hAnsi="Times"/>
          <w:sz w:val="24"/>
          <w:szCs w:val="24"/>
        </w:rPr>
        <w:t>was to give Australian employers much greater freedom to sponsor migrant workers on a temporary basis. This took the form of a new temporary work visa, the well</w:t>
      </w:r>
      <w:r w:rsidR="00265ACF" w:rsidRPr="00A36839">
        <w:rPr>
          <w:rFonts w:ascii="Times" w:hAnsi="Times"/>
          <w:sz w:val="24"/>
          <w:szCs w:val="24"/>
        </w:rPr>
        <w:t>-</w:t>
      </w:r>
      <w:r w:rsidRPr="00A36839">
        <w:rPr>
          <w:rFonts w:ascii="Times" w:hAnsi="Times"/>
          <w:sz w:val="24"/>
          <w:szCs w:val="24"/>
        </w:rPr>
        <w:t>known 457 visa.</w:t>
      </w:r>
      <w:r w:rsidR="00265ACF" w:rsidRPr="00A36839">
        <w:rPr>
          <w:rFonts w:ascii="Times" w:hAnsi="Times"/>
          <w:sz w:val="24"/>
          <w:szCs w:val="24"/>
        </w:rPr>
        <w:t xml:space="preserve"> </w:t>
      </w:r>
      <w:r w:rsidR="00E91578" w:rsidRPr="00A36839">
        <w:rPr>
          <w:rFonts w:ascii="Times" w:hAnsi="Times"/>
          <w:sz w:val="24"/>
          <w:szCs w:val="24"/>
        </w:rPr>
        <w:t xml:space="preserve">Employers benefited via easier and more flexible access to such workers. </w:t>
      </w:r>
      <w:r w:rsidRPr="00A36839">
        <w:rPr>
          <w:rFonts w:ascii="Times" w:hAnsi="Times"/>
          <w:sz w:val="24"/>
          <w:szCs w:val="24"/>
        </w:rPr>
        <w:t xml:space="preserve">Part of the </w:t>
      </w:r>
      <w:r w:rsidR="00DD0413" w:rsidRPr="00A36839">
        <w:rPr>
          <w:rFonts w:ascii="Times" w:hAnsi="Times"/>
          <w:sz w:val="24"/>
          <w:szCs w:val="24"/>
        </w:rPr>
        <w:t xml:space="preserve">Australian government’s </w:t>
      </w:r>
      <w:r w:rsidRPr="00A36839">
        <w:rPr>
          <w:rFonts w:ascii="Times" w:hAnsi="Times"/>
          <w:sz w:val="24"/>
          <w:szCs w:val="24"/>
        </w:rPr>
        <w:t>rationale was that by granting these workers temporary visas</w:t>
      </w:r>
      <w:r w:rsidR="00E57697" w:rsidRPr="00A36839">
        <w:rPr>
          <w:rFonts w:ascii="Times" w:hAnsi="Times"/>
          <w:sz w:val="24"/>
          <w:szCs w:val="24"/>
        </w:rPr>
        <w:t>,</w:t>
      </w:r>
      <w:r w:rsidR="00CD2CC8" w:rsidRPr="00A36839">
        <w:rPr>
          <w:rFonts w:ascii="Times" w:hAnsi="Times"/>
          <w:sz w:val="24"/>
          <w:szCs w:val="24"/>
        </w:rPr>
        <w:t xml:space="preserve"> taxpayer</w:t>
      </w:r>
      <w:r w:rsidR="00DD0413" w:rsidRPr="00A36839">
        <w:rPr>
          <w:rFonts w:ascii="Times" w:hAnsi="Times"/>
          <w:sz w:val="24"/>
          <w:szCs w:val="24"/>
        </w:rPr>
        <w:t>s</w:t>
      </w:r>
      <w:r w:rsidR="00CD2CC8" w:rsidRPr="00A36839">
        <w:rPr>
          <w:rFonts w:ascii="Times" w:hAnsi="Times"/>
          <w:sz w:val="24"/>
          <w:szCs w:val="24"/>
        </w:rPr>
        <w:t xml:space="preserve"> </w:t>
      </w:r>
      <w:r w:rsidRPr="00A36839">
        <w:rPr>
          <w:rFonts w:ascii="Times" w:hAnsi="Times"/>
          <w:sz w:val="24"/>
          <w:szCs w:val="24"/>
        </w:rPr>
        <w:t>would avoid some of the larger costs of bringing in permanent migrants (</w:t>
      </w:r>
      <w:r w:rsidR="00E57697" w:rsidRPr="00A36839">
        <w:rPr>
          <w:rFonts w:ascii="Times" w:hAnsi="Times"/>
          <w:sz w:val="24"/>
          <w:szCs w:val="24"/>
        </w:rPr>
        <w:t xml:space="preserve">including access to </w:t>
      </w:r>
      <w:r w:rsidRPr="00A36839">
        <w:rPr>
          <w:rFonts w:ascii="Times" w:hAnsi="Times"/>
          <w:sz w:val="24"/>
          <w:szCs w:val="24"/>
        </w:rPr>
        <w:t>Australia’s health</w:t>
      </w:r>
      <w:r w:rsidR="00E57697" w:rsidRPr="00A36839">
        <w:rPr>
          <w:rFonts w:ascii="Times" w:hAnsi="Times"/>
          <w:sz w:val="24"/>
          <w:szCs w:val="24"/>
        </w:rPr>
        <w:t xml:space="preserve">, education </w:t>
      </w:r>
      <w:r w:rsidRPr="00A36839">
        <w:rPr>
          <w:rFonts w:ascii="Times" w:hAnsi="Times"/>
          <w:sz w:val="24"/>
          <w:szCs w:val="24"/>
        </w:rPr>
        <w:t>and welfare entitlements</w:t>
      </w:r>
      <w:r w:rsidR="00265ACF" w:rsidRPr="00A36839">
        <w:rPr>
          <w:rFonts w:ascii="Times" w:hAnsi="Times"/>
          <w:sz w:val="24"/>
          <w:szCs w:val="24"/>
        </w:rPr>
        <w:t>)</w:t>
      </w:r>
      <w:r w:rsidRPr="00A36839">
        <w:rPr>
          <w:rFonts w:ascii="Times" w:hAnsi="Times"/>
          <w:sz w:val="24"/>
          <w:szCs w:val="24"/>
        </w:rPr>
        <w:t>.</w:t>
      </w:r>
    </w:p>
    <w:p w14:paraId="355BD9C5" w14:textId="77777777" w:rsidR="00A36839" w:rsidRPr="00A36839" w:rsidRDefault="00E57697" w:rsidP="00E57697">
      <w:pPr>
        <w:rPr>
          <w:rFonts w:ascii="Times" w:hAnsi="Times"/>
          <w:sz w:val="24"/>
          <w:szCs w:val="24"/>
        </w:rPr>
      </w:pPr>
      <w:r w:rsidRPr="00A36839">
        <w:rPr>
          <w:rFonts w:ascii="Times" w:hAnsi="Times"/>
          <w:sz w:val="24"/>
          <w:szCs w:val="24"/>
        </w:rPr>
        <w:t>The next major initiative along these lines has been the provision of the carrot of access to the Australian labour market in return for enrolment in Australian language, vocational and university establishments. Like the transformation of the WHM program from a cultural to an employment focus, successive governments have deliberately facilitated this link for the overseas student industry. Like WHMs, since 2012</w:t>
      </w:r>
      <w:r w:rsidR="004D7981" w:rsidRPr="00A36839">
        <w:rPr>
          <w:rFonts w:ascii="Times" w:hAnsi="Times"/>
          <w:sz w:val="24"/>
          <w:szCs w:val="24"/>
        </w:rPr>
        <w:t>,</w:t>
      </w:r>
      <w:r w:rsidRPr="00A36839">
        <w:rPr>
          <w:rFonts w:ascii="Times" w:hAnsi="Times"/>
          <w:sz w:val="24"/>
          <w:szCs w:val="24"/>
        </w:rPr>
        <w:t xml:space="preserve"> overseas students enrolling at university level only have bring enough money to pay for one year’s fees and expenses. Most have to find employment</w:t>
      </w:r>
      <w:r w:rsidR="004D7981" w:rsidRPr="00A36839">
        <w:rPr>
          <w:rFonts w:ascii="Times" w:hAnsi="Times"/>
          <w:sz w:val="24"/>
          <w:szCs w:val="24"/>
        </w:rPr>
        <w:t>, typically from the time they arrive in Australia. For many, the main purpose of taking up the enrolment in the first place, is to access the Australian labour market.</w:t>
      </w:r>
      <w:r w:rsidRPr="00A36839">
        <w:rPr>
          <w:rStyle w:val="EndnoteReference"/>
          <w:rFonts w:ascii="Times" w:hAnsi="Times"/>
          <w:sz w:val="24"/>
          <w:szCs w:val="24"/>
        </w:rPr>
        <w:endnoteReference w:id="18"/>
      </w:r>
    </w:p>
    <w:p w14:paraId="7F54654C" w14:textId="12DCA2BD" w:rsidR="00E57697" w:rsidRPr="00A36839" w:rsidRDefault="00E57697" w:rsidP="00E57697">
      <w:pPr>
        <w:rPr>
          <w:rFonts w:ascii="Times" w:hAnsi="Times"/>
          <w:sz w:val="24"/>
          <w:szCs w:val="24"/>
        </w:rPr>
      </w:pPr>
      <w:r w:rsidRPr="00A36839">
        <w:rPr>
          <w:rFonts w:ascii="Times" w:hAnsi="Times"/>
          <w:sz w:val="24"/>
          <w:szCs w:val="24"/>
        </w:rPr>
        <w:t>In 2013 the then Labor government granted all overseas students who graduate</w:t>
      </w:r>
      <w:r w:rsidR="00032BF0" w:rsidRPr="00A36839">
        <w:rPr>
          <w:rFonts w:ascii="Times" w:hAnsi="Times"/>
          <w:sz w:val="24"/>
          <w:szCs w:val="24"/>
        </w:rPr>
        <w:t>d</w:t>
      </w:r>
      <w:r w:rsidRPr="00A36839">
        <w:rPr>
          <w:rFonts w:ascii="Times" w:hAnsi="Times"/>
          <w:sz w:val="24"/>
          <w:szCs w:val="24"/>
        </w:rPr>
        <w:t xml:space="preserve"> from Australian universities the right to stay on in Australia for two years with full work rights on a 485 visa. The numbers holding this visa in Australia have since increased from 24,663 as of December 2013 to 59,324 as of December 2019.</w:t>
      </w:r>
    </w:p>
    <w:p w14:paraId="4144EE14" w14:textId="49409A6D" w:rsidR="00265ACF" w:rsidRPr="00A36839" w:rsidRDefault="00E57697" w:rsidP="00FA4B65">
      <w:pPr>
        <w:rPr>
          <w:rFonts w:ascii="Times" w:hAnsi="Times"/>
          <w:sz w:val="24"/>
          <w:szCs w:val="24"/>
        </w:rPr>
      </w:pPr>
      <w:r w:rsidRPr="00A36839">
        <w:rPr>
          <w:rFonts w:ascii="Times" w:hAnsi="Times"/>
          <w:sz w:val="24"/>
          <w:szCs w:val="24"/>
        </w:rPr>
        <w:t>Furthermore, s</w:t>
      </w:r>
      <w:r w:rsidR="00CD2CC8" w:rsidRPr="00A36839">
        <w:rPr>
          <w:rFonts w:ascii="Times" w:hAnsi="Times"/>
          <w:sz w:val="24"/>
          <w:szCs w:val="24"/>
        </w:rPr>
        <w:t>ince the mid-1990s there has also been a</w:t>
      </w:r>
      <w:r w:rsidR="00265ACF" w:rsidRPr="00A36839">
        <w:rPr>
          <w:rFonts w:ascii="Times" w:hAnsi="Times"/>
          <w:sz w:val="24"/>
          <w:szCs w:val="24"/>
        </w:rPr>
        <w:t xml:space="preserve">n accompanying </w:t>
      </w:r>
      <w:r w:rsidR="00FA4B65" w:rsidRPr="00A36839">
        <w:rPr>
          <w:rFonts w:ascii="Times" w:hAnsi="Times"/>
          <w:sz w:val="24"/>
          <w:szCs w:val="24"/>
        </w:rPr>
        <w:t xml:space="preserve">willingness of Australian governments to allow </w:t>
      </w:r>
      <w:r w:rsidR="00503581" w:rsidRPr="00A36839">
        <w:rPr>
          <w:rFonts w:ascii="Times" w:hAnsi="Times"/>
          <w:sz w:val="24"/>
          <w:szCs w:val="24"/>
        </w:rPr>
        <w:t xml:space="preserve">people </w:t>
      </w:r>
      <w:r w:rsidR="00FA4B65" w:rsidRPr="00A36839">
        <w:rPr>
          <w:rFonts w:ascii="Times" w:hAnsi="Times"/>
          <w:sz w:val="24"/>
          <w:szCs w:val="24"/>
        </w:rPr>
        <w:t xml:space="preserve">in Australia on temporary visas to churn from one temporary visa to another. This means that those </w:t>
      </w:r>
      <w:r w:rsidR="00CD2CC8" w:rsidRPr="00A36839">
        <w:rPr>
          <w:rFonts w:ascii="Times" w:hAnsi="Times"/>
          <w:sz w:val="24"/>
          <w:szCs w:val="24"/>
        </w:rPr>
        <w:t xml:space="preserve">on temporary visa who have </w:t>
      </w:r>
      <w:r w:rsidR="00FA4B65" w:rsidRPr="00A36839">
        <w:rPr>
          <w:rFonts w:ascii="Times" w:hAnsi="Times"/>
          <w:sz w:val="24"/>
          <w:szCs w:val="24"/>
        </w:rPr>
        <w:t xml:space="preserve">an interest in </w:t>
      </w:r>
      <w:r w:rsidR="00CD2CC8" w:rsidRPr="00A36839">
        <w:rPr>
          <w:rFonts w:ascii="Times" w:hAnsi="Times"/>
          <w:sz w:val="24"/>
          <w:szCs w:val="24"/>
        </w:rPr>
        <w:t xml:space="preserve">extending their participation in the </w:t>
      </w:r>
      <w:r w:rsidR="00FA4B65" w:rsidRPr="00A36839">
        <w:rPr>
          <w:rFonts w:ascii="Times" w:hAnsi="Times"/>
          <w:sz w:val="24"/>
          <w:szCs w:val="24"/>
        </w:rPr>
        <w:t>Australian labour market have enhanced opportunities to do so. For example, those here on a</w:t>
      </w:r>
      <w:r w:rsidR="00CD2CC8" w:rsidRPr="00A36839">
        <w:rPr>
          <w:rFonts w:ascii="Times" w:hAnsi="Times"/>
          <w:sz w:val="24"/>
          <w:szCs w:val="24"/>
        </w:rPr>
        <w:t>n overseas</w:t>
      </w:r>
      <w:r w:rsidR="00415FE4" w:rsidRPr="00A36839">
        <w:rPr>
          <w:rFonts w:ascii="Times" w:hAnsi="Times"/>
          <w:sz w:val="24"/>
          <w:szCs w:val="24"/>
        </w:rPr>
        <w:t xml:space="preserve"> </w:t>
      </w:r>
      <w:r w:rsidR="00FA4B65" w:rsidRPr="00A36839">
        <w:rPr>
          <w:rFonts w:ascii="Times" w:hAnsi="Times"/>
          <w:sz w:val="24"/>
          <w:szCs w:val="24"/>
        </w:rPr>
        <w:t>student visa can switch to a</w:t>
      </w:r>
      <w:r w:rsidRPr="00A36839">
        <w:rPr>
          <w:rFonts w:ascii="Times" w:hAnsi="Times"/>
          <w:sz w:val="24"/>
          <w:szCs w:val="24"/>
        </w:rPr>
        <w:t>nother education visa, to a</w:t>
      </w:r>
      <w:r w:rsidR="00FA4B65" w:rsidRPr="00A36839">
        <w:rPr>
          <w:rFonts w:ascii="Times" w:hAnsi="Times"/>
          <w:sz w:val="24"/>
          <w:szCs w:val="24"/>
        </w:rPr>
        <w:t xml:space="preserve"> tourist visa,</w:t>
      </w:r>
      <w:r w:rsidR="00503581" w:rsidRPr="00A36839">
        <w:rPr>
          <w:rFonts w:ascii="Times" w:hAnsi="Times"/>
          <w:sz w:val="24"/>
          <w:szCs w:val="24"/>
        </w:rPr>
        <w:t xml:space="preserve"> or</w:t>
      </w:r>
      <w:r w:rsidR="00FA4B65" w:rsidRPr="00A36839">
        <w:rPr>
          <w:rFonts w:ascii="Times" w:hAnsi="Times"/>
          <w:sz w:val="24"/>
          <w:szCs w:val="24"/>
        </w:rPr>
        <w:t xml:space="preserve"> </w:t>
      </w:r>
      <w:r w:rsidRPr="00A36839">
        <w:rPr>
          <w:rFonts w:ascii="Times" w:hAnsi="Times"/>
          <w:sz w:val="24"/>
          <w:szCs w:val="24"/>
        </w:rPr>
        <w:t xml:space="preserve">to </w:t>
      </w:r>
      <w:r w:rsidR="00FA4B65" w:rsidRPr="00A36839">
        <w:rPr>
          <w:rFonts w:ascii="Times" w:hAnsi="Times"/>
          <w:sz w:val="24"/>
          <w:szCs w:val="24"/>
        </w:rPr>
        <w:t>a WHM visa</w:t>
      </w:r>
      <w:r w:rsidR="00503581" w:rsidRPr="00A36839">
        <w:rPr>
          <w:rFonts w:ascii="Times" w:hAnsi="Times"/>
          <w:sz w:val="24"/>
          <w:szCs w:val="24"/>
        </w:rPr>
        <w:t xml:space="preserve">. </w:t>
      </w:r>
      <w:r w:rsidRPr="00A36839">
        <w:rPr>
          <w:rFonts w:ascii="Times" w:hAnsi="Times"/>
          <w:sz w:val="24"/>
          <w:szCs w:val="24"/>
        </w:rPr>
        <w:t xml:space="preserve">This goes to the point made earlier about the options WHMs have to switch to another visa, like a tourist visa </w:t>
      </w:r>
      <w:r w:rsidR="004D7981" w:rsidRPr="00A36839">
        <w:rPr>
          <w:rFonts w:ascii="Times" w:hAnsi="Times"/>
          <w:sz w:val="24"/>
          <w:szCs w:val="24"/>
        </w:rPr>
        <w:t xml:space="preserve">or an education visa </w:t>
      </w:r>
      <w:r w:rsidRPr="00A36839">
        <w:rPr>
          <w:rFonts w:ascii="Times" w:hAnsi="Times"/>
          <w:sz w:val="24"/>
          <w:szCs w:val="24"/>
        </w:rPr>
        <w:t>if they want a second year in Australia.</w:t>
      </w:r>
    </w:p>
    <w:p w14:paraId="1FCF735E" w14:textId="4E711992" w:rsidR="00415FE4" w:rsidRPr="00A36839" w:rsidRDefault="00FA4B65" w:rsidP="00FA4B65">
      <w:pPr>
        <w:rPr>
          <w:rFonts w:ascii="Times" w:hAnsi="Times"/>
          <w:sz w:val="24"/>
          <w:szCs w:val="24"/>
        </w:rPr>
      </w:pPr>
      <w:r w:rsidRPr="00A36839">
        <w:rPr>
          <w:rFonts w:ascii="Times" w:hAnsi="Times"/>
          <w:sz w:val="24"/>
          <w:szCs w:val="24"/>
        </w:rPr>
        <w:t>In addition</w:t>
      </w:r>
      <w:r w:rsidR="00265ACF" w:rsidRPr="00A36839">
        <w:rPr>
          <w:rFonts w:ascii="Times" w:hAnsi="Times"/>
          <w:sz w:val="24"/>
          <w:szCs w:val="24"/>
        </w:rPr>
        <w:t>,</w:t>
      </w:r>
      <w:r w:rsidRPr="00A36839">
        <w:rPr>
          <w:rFonts w:ascii="Times" w:hAnsi="Times"/>
          <w:sz w:val="24"/>
          <w:szCs w:val="24"/>
        </w:rPr>
        <w:t xml:space="preserve"> where these </w:t>
      </w:r>
      <w:r w:rsidR="00E57697" w:rsidRPr="00A36839">
        <w:rPr>
          <w:rFonts w:ascii="Times" w:hAnsi="Times"/>
          <w:sz w:val="24"/>
          <w:szCs w:val="24"/>
        </w:rPr>
        <w:t xml:space="preserve">switching </w:t>
      </w:r>
      <w:r w:rsidRPr="00A36839">
        <w:rPr>
          <w:rFonts w:ascii="Times" w:hAnsi="Times"/>
          <w:sz w:val="24"/>
          <w:szCs w:val="24"/>
        </w:rPr>
        <w:t>applications are turned down</w:t>
      </w:r>
      <w:r w:rsidR="00503581" w:rsidRPr="00A36839">
        <w:rPr>
          <w:rFonts w:ascii="Times" w:hAnsi="Times"/>
          <w:sz w:val="24"/>
          <w:szCs w:val="24"/>
        </w:rPr>
        <w:t>,</w:t>
      </w:r>
      <w:r w:rsidRPr="00A36839">
        <w:rPr>
          <w:rFonts w:ascii="Times" w:hAnsi="Times"/>
          <w:sz w:val="24"/>
          <w:szCs w:val="24"/>
        </w:rPr>
        <w:t xml:space="preserve"> those refused have ready access to appeals and the accompanying bridging visas while their appeal is processed. </w:t>
      </w:r>
      <w:r w:rsidR="00503581" w:rsidRPr="00A36839">
        <w:rPr>
          <w:rFonts w:ascii="Times" w:hAnsi="Times"/>
          <w:sz w:val="24"/>
          <w:szCs w:val="24"/>
        </w:rPr>
        <w:t xml:space="preserve">People </w:t>
      </w:r>
      <w:r w:rsidRPr="00A36839">
        <w:rPr>
          <w:rFonts w:ascii="Times" w:hAnsi="Times"/>
          <w:sz w:val="24"/>
          <w:szCs w:val="24"/>
        </w:rPr>
        <w:t>on bridging visas usually retain the work rights applicable to their original visa.</w:t>
      </w:r>
    </w:p>
    <w:p w14:paraId="46B1A132" w14:textId="77777777" w:rsidR="00A36839" w:rsidRPr="00A36839" w:rsidRDefault="00265ACF">
      <w:pPr>
        <w:rPr>
          <w:rFonts w:ascii="Times" w:hAnsi="Times"/>
          <w:sz w:val="24"/>
          <w:szCs w:val="24"/>
        </w:rPr>
      </w:pPr>
      <w:r w:rsidRPr="00A36839">
        <w:rPr>
          <w:rFonts w:ascii="Times" w:hAnsi="Times"/>
          <w:sz w:val="24"/>
          <w:szCs w:val="24"/>
        </w:rPr>
        <w:t xml:space="preserve">It is this combination of government decisions that has led to the </w:t>
      </w:r>
      <w:r w:rsidR="00DD0E0B" w:rsidRPr="00A36839">
        <w:rPr>
          <w:rFonts w:ascii="Times" w:hAnsi="Times"/>
          <w:sz w:val="24"/>
          <w:szCs w:val="24"/>
        </w:rPr>
        <w:t>massive increase in the number of temporary migrants seeking positions in casual, entry</w:t>
      </w:r>
      <w:r w:rsidR="00A738C3" w:rsidRPr="00A36839">
        <w:rPr>
          <w:rFonts w:ascii="Times" w:hAnsi="Times"/>
          <w:sz w:val="24"/>
          <w:szCs w:val="24"/>
        </w:rPr>
        <w:t>-</w:t>
      </w:r>
      <w:r w:rsidR="00DD0E0B" w:rsidRPr="00A36839">
        <w:rPr>
          <w:rFonts w:ascii="Times" w:hAnsi="Times"/>
          <w:sz w:val="24"/>
          <w:szCs w:val="24"/>
        </w:rPr>
        <w:t xml:space="preserve">level labour markets </w:t>
      </w:r>
      <w:r w:rsidR="001B20E4" w:rsidRPr="00A36839">
        <w:rPr>
          <w:rFonts w:ascii="Times" w:hAnsi="Times"/>
          <w:sz w:val="24"/>
          <w:szCs w:val="24"/>
        </w:rPr>
        <w:t xml:space="preserve">(as in hospitality and retail work) </w:t>
      </w:r>
      <w:r w:rsidR="00DD0E0B" w:rsidRPr="00A36839">
        <w:rPr>
          <w:rFonts w:ascii="Times" w:hAnsi="Times"/>
          <w:sz w:val="24"/>
          <w:szCs w:val="24"/>
        </w:rPr>
        <w:t xml:space="preserve">in the big cities. Their need for this work </w:t>
      </w:r>
      <w:r w:rsidR="00A738C3" w:rsidRPr="00A36839">
        <w:rPr>
          <w:rFonts w:ascii="Times" w:hAnsi="Times"/>
          <w:sz w:val="24"/>
          <w:szCs w:val="24"/>
        </w:rPr>
        <w:t>is desperate. This is because,</w:t>
      </w:r>
      <w:r w:rsidR="00DD0E0B" w:rsidRPr="00A36839">
        <w:rPr>
          <w:rFonts w:ascii="Times" w:hAnsi="Times"/>
          <w:sz w:val="24"/>
          <w:szCs w:val="24"/>
        </w:rPr>
        <w:t xml:space="preserve"> like WHMs</w:t>
      </w:r>
      <w:r w:rsidR="00A738C3" w:rsidRPr="00A36839">
        <w:rPr>
          <w:rFonts w:ascii="Times" w:hAnsi="Times"/>
          <w:sz w:val="24"/>
          <w:szCs w:val="24"/>
        </w:rPr>
        <w:t>,</w:t>
      </w:r>
      <w:r w:rsidR="00DD0E0B" w:rsidRPr="00A36839">
        <w:rPr>
          <w:rFonts w:ascii="Times" w:hAnsi="Times"/>
          <w:sz w:val="24"/>
          <w:szCs w:val="24"/>
        </w:rPr>
        <w:t xml:space="preserve"> they have no access to Australian welfare benefits and must survive on the income they earn </w:t>
      </w:r>
      <w:r w:rsidRPr="00A36839">
        <w:rPr>
          <w:rFonts w:ascii="Times" w:hAnsi="Times"/>
          <w:sz w:val="24"/>
          <w:szCs w:val="24"/>
        </w:rPr>
        <w:t>while in Australia</w:t>
      </w:r>
      <w:r w:rsidR="00A738C3" w:rsidRPr="00A36839">
        <w:rPr>
          <w:rFonts w:ascii="Times" w:hAnsi="Times"/>
          <w:sz w:val="24"/>
          <w:szCs w:val="24"/>
        </w:rPr>
        <w:t>.</w:t>
      </w:r>
    </w:p>
    <w:p w14:paraId="3931ABEB" w14:textId="77777777" w:rsidR="00A36839" w:rsidRPr="00A36839" w:rsidRDefault="00812632">
      <w:pPr>
        <w:rPr>
          <w:rFonts w:ascii="Times" w:hAnsi="Times"/>
          <w:sz w:val="24"/>
          <w:szCs w:val="24"/>
        </w:rPr>
      </w:pPr>
      <w:r w:rsidRPr="00A36839">
        <w:rPr>
          <w:rFonts w:ascii="Times" w:hAnsi="Times"/>
          <w:sz w:val="24"/>
          <w:szCs w:val="24"/>
        </w:rPr>
        <w:t xml:space="preserve">It is clear from the evidence cited above that </w:t>
      </w:r>
      <w:r w:rsidR="001B20E4" w:rsidRPr="00A36839">
        <w:rPr>
          <w:rFonts w:ascii="Times" w:hAnsi="Times"/>
          <w:sz w:val="24"/>
          <w:szCs w:val="24"/>
        </w:rPr>
        <w:t xml:space="preserve">horticulture has become another </w:t>
      </w:r>
      <w:r w:rsidRPr="00A36839">
        <w:rPr>
          <w:rFonts w:ascii="Times" w:hAnsi="Times"/>
          <w:sz w:val="24"/>
          <w:szCs w:val="24"/>
        </w:rPr>
        <w:t xml:space="preserve">work </w:t>
      </w:r>
      <w:r w:rsidR="00943541" w:rsidRPr="00A36839">
        <w:rPr>
          <w:rFonts w:ascii="Times" w:hAnsi="Times"/>
          <w:sz w:val="24"/>
          <w:szCs w:val="24"/>
        </w:rPr>
        <w:t>option</w:t>
      </w:r>
      <w:r w:rsidRPr="00A36839">
        <w:rPr>
          <w:rFonts w:ascii="Times" w:hAnsi="Times"/>
          <w:sz w:val="24"/>
          <w:szCs w:val="24"/>
        </w:rPr>
        <w:t xml:space="preserve"> for many </w:t>
      </w:r>
      <w:r w:rsidR="00032BF0" w:rsidRPr="00A36839">
        <w:rPr>
          <w:rFonts w:ascii="Times" w:hAnsi="Times"/>
          <w:sz w:val="24"/>
          <w:szCs w:val="24"/>
        </w:rPr>
        <w:t xml:space="preserve">in </w:t>
      </w:r>
      <w:r w:rsidR="004D7981" w:rsidRPr="00A36839">
        <w:rPr>
          <w:rFonts w:ascii="Times" w:hAnsi="Times"/>
          <w:sz w:val="24"/>
          <w:szCs w:val="24"/>
        </w:rPr>
        <w:t xml:space="preserve">this </w:t>
      </w:r>
      <w:r w:rsidRPr="00A36839">
        <w:rPr>
          <w:rFonts w:ascii="Times" w:hAnsi="Times"/>
          <w:sz w:val="24"/>
          <w:szCs w:val="24"/>
        </w:rPr>
        <w:t xml:space="preserve">stock of temporary migrants. The commentary about the </w:t>
      </w:r>
      <w:r w:rsidR="001B20E4" w:rsidRPr="00A36839">
        <w:rPr>
          <w:rFonts w:ascii="Times" w:hAnsi="Times"/>
          <w:sz w:val="24"/>
          <w:szCs w:val="24"/>
        </w:rPr>
        <w:t xml:space="preserve">vulnerability of WHMs </w:t>
      </w:r>
      <w:r w:rsidRPr="00A36839">
        <w:rPr>
          <w:rFonts w:ascii="Times" w:hAnsi="Times"/>
          <w:sz w:val="24"/>
          <w:szCs w:val="24"/>
        </w:rPr>
        <w:t xml:space="preserve">who </w:t>
      </w:r>
      <w:r w:rsidR="001B20E4" w:rsidRPr="00A36839">
        <w:rPr>
          <w:rFonts w:ascii="Times" w:hAnsi="Times"/>
          <w:sz w:val="24"/>
          <w:szCs w:val="24"/>
        </w:rPr>
        <w:t>seek</w:t>
      </w:r>
      <w:r w:rsidRPr="00A36839">
        <w:rPr>
          <w:rFonts w:ascii="Times" w:hAnsi="Times"/>
          <w:sz w:val="24"/>
          <w:szCs w:val="24"/>
        </w:rPr>
        <w:t xml:space="preserve"> employment in horticulture applies with equal force to th</w:t>
      </w:r>
      <w:r w:rsidR="00032BF0" w:rsidRPr="00A36839">
        <w:rPr>
          <w:rFonts w:ascii="Times" w:hAnsi="Times"/>
          <w:sz w:val="24"/>
          <w:szCs w:val="24"/>
        </w:rPr>
        <w:t>ese temporary migrants</w:t>
      </w:r>
      <w:r w:rsidRPr="00A36839">
        <w:rPr>
          <w:rFonts w:ascii="Times" w:hAnsi="Times"/>
          <w:sz w:val="24"/>
          <w:szCs w:val="24"/>
        </w:rPr>
        <w:t>.</w:t>
      </w:r>
    </w:p>
    <w:p w14:paraId="446C6F04" w14:textId="77777777" w:rsidR="00A36839" w:rsidRPr="00A36839" w:rsidRDefault="00E47620" w:rsidP="00A36839">
      <w:pPr>
        <w:pStyle w:val="Heading2"/>
      </w:pPr>
      <w:bookmarkStart w:id="16" w:name="_Toc46319547"/>
      <w:bookmarkStart w:id="17" w:name="_Toc46319733"/>
      <w:r w:rsidRPr="00A36839">
        <w:lastRenderedPageBreak/>
        <w:t xml:space="preserve">The </w:t>
      </w:r>
      <w:r w:rsidR="003154C7" w:rsidRPr="00A36839">
        <w:t xml:space="preserve">current </w:t>
      </w:r>
      <w:r w:rsidRPr="00A36839">
        <w:t>horticultural work setting</w:t>
      </w:r>
      <w:bookmarkEnd w:id="16"/>
      <w:bookmarkEnd w:id="17"/>
    </w:p>
    <w:p w14:paraId="0656BA98" w14:textId="77777777" w:rsidR="00A36839" w:rsidRPr="00A36839" w:rsidRDefault="00947CB2">
      <w:pPr>
        <w:rPr>
          <w:rFonts w:ascii="Times" w:hAnsi="Times"/>
          <w:sz w:val="24"/>
          <w:szCs w:val="24"/>
        </w:rPr>
      </w:pPr>
      <w:r w:rsidRPr="00A36839">
        <w:rPr>
          <w:rFonts w:ascii="Times" w:hAnsi="Times"/>
          <w:sz w:val="24"/>
          <w:szCs w:val="24"/>
        </w:rPr>
        <w:t xml:space="preserve">A vulnerable </w:t>
      </w:r>
      <w:r w:rsidR="00812632" w:rsidRPr="00A36839">
        <w:rPr>
          <w:rFonts w:ascii="Times" w:hAnsi="Times"/>
          <w:sz w:val="24"/>
          <w:szCs w:val="24"/>
        </w:rPr>
        <w:t xml:space="preserve">temporary migrant </w:t>
      </w:r>
      <w:r w:rsidRPr="00A36839">
        <w:rPr>
          <w:rFonts w:ascii="Times" w:hAnsi="Times"/>
          <w:sz w:val="24"/>
          <w:szCs w:val="24"/>
        </w:rPr>
        <w:t xml:space="preserve">workforce </w:t>
      </w:r>
      <w:r w:rsidR="00812632" w:rsidRPr="00A36839">
        <w:rPr>
          <w:rFonts w:ascii="Times" w:hAnsi="Times"/>
          <w:sz w:val="24"/>
          <w:szCs w:val="24"/>
        </w:rPr>
        <w:t xml:space="preserve">confronts horticultural </w:t>
      </w:r>
      <w:r w:rsidRPr="00A36839">
        <w:rPr>
          <w:rFonts w:ascii="Times" w:hAnsi="Times"/>
          <w:sz w:val="24"/>
          <w:szCs w:val="24"/>
        </w:rPr>
        <w:t xml:space="preserve">employers who are themselves squeezed by the big supermarkets to whom they must sell. The two </w:t>
      </w:r>
      <w:r w:rsidR="000C64F5" w:rsidRPr="00A36839">
        <w:rPr>
          <w:rFonts w:ascii="Times" w:hAnsi="Times"/>
          <w:sz w:val="24"/>
          <w:szCs w:val="24"/>
        </w:rPr>
        <w:t>dominant supermarket</w:t>
      </w:r>
      <w:r w:rsidRPr="00A36839">
        <w:rPr>
          <w:rFonts w:ascii="Times" w:hAnsi="Times"/>
          <w:sz w:val="24"/>
          <w:szCs w:val="24"/>
        </w:rPr>
        <w:t>s</w:t>
      </w:r>
      <w:r w:rsidR="00EF4086" w:rsidRPr="00A36839">
        <w:rPr>
          <w:rFonts w:ascii="Times" w:hAnsi="Times"/>
          <w:sz w:val="24"/>
          <w:szCs w:val="24"/>
        </w:rPr>
        <w:t>,</w:t>
      </w:r>
      <w:r w:rsidRPr="00A36839">
        <w:rPr>
          <w:rFonts w:ascii="Times" w:hAnsi="Times"/>
          <w:sz w:val="24"/>
          <w:szCs w:val="24"/>
        </w:rPr>
        <w:t xml:space="preserve"> Coles and Woolworths</w:t>
      </w:r>
      <w:r w:rsidR="000C64F5" w:rsidRPr="00A36839">
        <w:rPr>
          <w:rFonts w:ascii="Times" w:hAnsi="Times"/>
          <w:sz w:val="24"/>
          <w:szCs w:val="24"/>
        </w:rPr>
        <w:t xml:space="preserve"> (plus Aldi and IGA)</w:t>
      </w:r>
      <w:r w:rsidR="00EF4086" w:rsidRPr="00A36839">
        <w:rPr>
          <w:rFonts w:ascii="Times" w:hAnsi="Times"/>
          <w:sz w:val="24"/>
          <w:szCs w:val="24"/>
        </w:rPr>
        <w:t>,</w:t>
      </w:r>
      <w:r w:rsidR="000C64F5" w:rsidRPr="00A36839">
        <w:rPr>
          <w:rFonts w:ascii="Times" w:hAnsi="Times"/>
          <w:sz w:val="24"/>
          <w:szCs w:val="24"/>
        </w:rPr>
        <w:t xml:space="preserve"> </w:t>
      </w:r>
      <w:r w:rsidRPr="00A36839">
        <w:rPr>
          <w:rFonts w:ascii="Times" w:hAnsi="Times"/>
          <w:sz w:val="24"/>
          <w:szCs w:val="24"/>
        </w:rPr>
        <w:t>are price setters</w:t>
      </w:r>
      <w:r w:rsidR="000C64F5" w:rsidRPr="00A36839">
        <w:rPr>
          <w:rFonts w:ascii="Times" w:hAnsi="Times"/>
          <w:sz w:val="24"/>
          <w:szCs w:val="24"/>
        </w:rPr>
        <w:t>. The</w:t>
      </w:r>
      <w:r w:rsidRPr="00A36839">
        <w:rPr>
          <w:rFonts w:ascii="Times" w:hAnsi="Times"/>
          <w:sz w:val="24"/>
          <w:szCs w:val="24"/>
        </w:rPr>
        <w:t xml:space="preserve"> sellers are </w:t>
      </w:r>
      <w:r w:rsidR="000C64F5" w:rsidRPr="00A36839">
        <w:rPr>
          <w:rFonts w:ascii="Times" w:hAnsi="Times"/>
          <w:sz w:val="24"/>
          <w:szCs w:val="24"/>
        </w:rPr>
        <w:t xml:space="preserve">fragmented with no collective power. The buyers can and do assert downward pressure on the prices they are </w:t>
      </w:r>
      <w:r w:rsidR="00812632" w:rsidRPr="00A36839">
        <w:rPr>
          <w:rFonts w:ascii="Times" w:hAnsi="Times"/>
          <w:sz w:val="24"/>
          <w:szCs w:val="24"/>
        </w:rPr>
        <w:t xml:space="preserve">prepared </w:t>
      </w:r>
      <w:r w:rsidR="000C64F5" w:rsidRPr="00A36839">
        <w:rPr>
          <w:rFonts w:ascii="Times" w:hAnsi="Times"/>
          <w:sz w:val="24"/>
          <w:szCs w:val="24"/>
        </w:rPr>
        <w:t>to pay.</w:t>
      </w:r>
    </w:p>
    <w:p w14:paraId="2920205C" w14:textId="5CEDCADE" w:rsidR="00415FE4" w:rsidRPr="00A36839" w:rsidRDefault="00812632" w:rsidP="00903D32">
      <w:pPr>
        <w:rPr>
          <w:rFonts w:ascii="Times" w:hAnsi="Times"/>
          <w:sz w:val="24"/>
          <w:szCs w:val="24"/>
        </w:rPr>
      </w:pPr>
      <w:r w:rsidRPr="00A36839">
        <w:rPr>
          <w:rFonts w:ascii="Times" w:hAnsi="Times"/>
          <w:sz w:val="24"/>
          <w:szCs w:val="24"/>
        </w:rPr>
        <w:t xml:space="preserve">Horticultural employers also must face </w:t>
      </w:r>
      <w:r w:rsidR="00947CB2" w:rsidRPr="00A36839">
        <w:rPr>
          <w:rFonts w:ascii="Times" w:hAnsi="Times"/>
          <w:sz w:val="24"/>
          <w:szCs w:val="24"/>
        </w:rPr>
        <w:t xml:space="preserve">competition from importers. Producers in developing countries </w:t>
      </w:r>
      <w:r w:rsidR="00B82B0A" w:rsidRPr="00A36839">
        <w:rPr>
          <w:rFonts w:ascii="Times" w:hAnsi="Times"/>
          <w:sz w:val="24"/>
          <w:szCs w:val="24"/>
        </w:rPr>
        <w:t xml:space="preserve">employ workers on wages and conditions </w:t>
      </w:r>
      <w:r w:rsidR="00947CB2" w:rsidRPr="00A36839">
        <w:rPr>
          <w:rFonts w:ascii="Times" w:hAnsi="Times"/>
          <w:sz w:val="24"/>
          <w:szCs w:val="24"/>
        </w:rPr>
        <w:t>far below those paid in Australia. This is also true</w:t>
      </w:r>
      <w:r w:rsidRPr="00A36839">
        <w:rPr>
          <w:rFonts w:ascii="Times" w:hAnsi="Times"/>
          <w:sz w:val="24"/>
          <w:szCs w:val="24"/>
        </w:rPr>
        <w:t>,</w:t>
      </w:r>
      <w:r w:rsidR="00947CB2" w:rsidRPr="00A36839">
        <w:rPr>
          <w:rFonts w:ascii="Times" w:hAnsi="Times"/>
          <w:sz w:val="24"/>
          <w:szCs w:val="24"/>
        </w:rPr>
        <w:t xml:space="preserve"> </w:t>
      </w:r>
      <w:r w:rsidR="00B82B0A" w:rsidRPr="00A36839">
        <w:rPr>
          <w:rFonts w:ascii="Times" w:hAnsi="Times"/>
          <w:sz w:val="24"/>
          <w:szCs w:val="24"/>
        </w:rPr>
        <w:t>to a degree</w:t>
      </w:r>
      <w:r w:rsidRPr="00A36839">
        <w:rPr>
          <w:rFonts w:ascii="Times" w:hAnsi="Times"/>
          <w:sz w:val="24"/>
          <w:szCs w:val="24"/>
        </w:rPr>
        <w:t xml:space="preserve">, </w:t>
      </w:r>
      <w:r w:rsidR="00947CB2" w:rsidRPr="00A36839">
        <w:rPr>
          <w:rFonts w:ascii="Times" w:hAnsi="Times"/>
          <w:sz w:val="24"/>
          <w:szCs w:val="24"/>
        </w:rPr>
        <w:t>of most develop</w:t>
      </w:r>
      <w:r w:rsidR="00122818" w:rsidRPr="00A36839">
        <w:rPr>
          <w:rFonts w:ascii="Times" w:hAnsi="Times"/>
          <w:sz w:val="24"/>
          <w:szCs w:val="24"/>
        </w:rPr>
        <w:t>ed</w:t>
      </w:r>
      <w:r w:rsidR="00947CB2" w:rsidRPr="00A36839">
        <w:rPr>
          <w:rFonts w:ascii="Times" w:hAnsi="Times"/>
          <w:sz w:val="24"/>
          <w:szCs w:val="24"/>
        </w:rPr>
        <w:t xml:space="preserve"> countries, where minimum wages are typically lower than </w:t>
      </w:r>
      <w:r w:rsidR="00B82B0A" w:rsidRPr="00A36839">
        <w:rPr>
          <w:rFonts w:ascii="Times" w:hAnsi="Times"/>
          <w:sz w:val="24"/>
          <w:szCs w:val="24"/>
        </w:rPr>
        <w:t xml:space="preserve">the minimum award conditions </w:t>
      </w:r>
      <w:r w:rsidR="00947CB2" w:rsidRPr="00A36839">
        <w:rPr>
          <w:rFonts w:ascii="Times" w:hAnsi="Times"/>
          <w:sz w:val="24"/>
          <w:szCs w:val="24"/>
        </w:rPr>
        <w:t xml:space="preserve">stipulated </w:t>
      </w:r>
      <w:r w:rsidR="00B82B0A" w:rsidRPr="00A36839">
        <w:rPr>
          <w:rFonts w:ascii="Times" w:hAnsi="Times"/>
          <w:sz w:val="24"/>
          <w:szCs w:val="24"/>
        </w:rPr>
        <w:t xml:space="preserve">in Australia </w:t>
      </w:r>
      <w:r w:rsidR="00947CB2" w:rsidRPr="00A36839">
        <w:rPr>
          <w:rFonts w:ascii="Times" w:hAnsi="Times"/>
          <w:sz w:val="24"/>
          <w:szCs w:val="24"/>
        </w:rPr>
        <w:t xml:space="preserve">(though often breached). </w:t>
      </w:r>
      <w:r w:rsidR="00903D32" w:rsidRPr="00A36839">
        <w:rPr>
          <w:rFonts w:ascii="Times" w:hAnsi="Times"/>
          <w:sz w:val="24"/>
          <w:szCs w:val="24"/>
        </w:rPr>
        <w:t xml:space="preserve">Australia’s national minimum wage ($19.49 </w:t>
      </w:r>
      <w:r w:rsidR="00CD2CC8" w:rsidRPr="00A36839">
        <w:rPr>
          <w:rFonts w:ascii="Times" w:hAnsi="Times"/>
          <w:sz w:val="24"/>
          <w:szCs w:val="24"/>
        </w:rPr>
        <w:t xml:space="preserve">an hour </w:t>
      </w:r>
      <w:r w:rsidR="00903D32" w:rsidRPr="00A36839">
        <w:rPr>
          <w:rFonts w:ascii="Times" w:hAnsi="Times"/>
          <w:sz w:val="24"/>
          <w:szCs w:val="24"/>
        </w:rPr>
        <w:t>or $740.80 a week as of July 2019) is higher than that in Canada and New Zealand</w:t>
      </w:r>
      <w:r w:rsidR="00415FE4" w:rsidRPr="00A36839">
        <w:rPr>
          <w:rFonts w:ascii="Times" w:hAnsi="Times"/>
          <w:sz w:val="24"/>
          <w:szCs w:val="24"/>
        </w:rPr>
        <w:t xml:space="preserve"> </w:t>
      </w:r>
      <w:r w:rsidR="00903D32" w:rsidRPr="00A36839">
        <w:rPr>
          <w:rFonts w:ascii="Times" w:hAnsi="Times"/>
          <w:sz w:val="24"/>
          <w:szCs w:val="24"/>
        </w:rPr>
        <w:t>and way above that applying in the United States.</w:t>
      </w:r>
    </w:p>
    <w:p w14:paraId="51FCDDE8" w14:textId="77777777" w:rsidR="00A36839" w:rsidRPr="00A36839" w:rsidRDefault="00947CB2">
      <w:pPr>
        <w:rPr>
          <w:rFonts w:ascii="Times" w:hAnsi="Times"/>
          <w:sz w:val="24"/>
          <w:szCs w:val="24"/>
        </w:rPr>
      </w:pPr>
      <w:r w:rsidRPr="00A36839">
        <w:rPr>
          <w:rFonts w:ascii="Times" w:hAnsi="Times"/>
          <w:sz w:val="24"/>
          <w:szCs w:val="24"/>
        </w:rPr>
        <w:t>No wonder that the horticultural industry, with the backing of the NFF and the National Party</w:t>
      </w:r>
      <w:r w:rsidR="00EF4086" w:rsidRPr="00A36839">
        <w:rPr>
          <w:rFonts w:ascii="Times" w:hAnsi="Times"/>
          <w:sz w:val="24"/>
          <w:szCs w:val="24"/>
        </w:rPr>
        <w:t>,</w:t>
      </w:r>
      <w:r w:rsidRPr="00A36839">
        <w:rPr>
          <w:rFonts w:ascii="Times" w:hAnsi="Times"/>
          <w:sz w:val="24"/>
          <w:szCs w:val="24"/>
        </w:rPr>
        <w:t xml:space="preserve"> are pushing so hard </w:t>
      </w:r>
      <w:r w:rsidR="00B82B0A" w:rsidRPr="00A36839">
        <w:rPr>
          <w:rFonts w:ascii="Times" w:hAnsi="Times"/>
          <w:sz w:val="24"/>
          <w:szCs w:val="24"/>
        </w:rPr>
        <w:t>for the government t</w:t>
      </w:r>
      <w:r w:rsidRPr="00A36839">
        <w:rPr>
          <w:rFonts w:ascii="Times" w:hAnsi="Times"/>
          <w:sz w:val="24"/>
          <w:szCs w:val="24"/>
        </w:rPr>
        <w:t>o deliver a compliant migrant workforce.</w:t>
      </w:r>
    </w:p>
    <w:p w14:paraId="59EFE3D1" w14:textId="7096530C" w:rsidR="00E57697" w:rsidRPr="00A36839" w:rsidRDefault="00E57697" w:rsidP="00E57697">
      <w:pPr>
        <w:rPr>
          <w:rFonts w:ascii="Times" w:hAnsi="Times"/>
          <w:sz w:val="24"/>
          <w:szCs w:val="24"/>
        </w:rPr>
      </w:pPr>
      <w:r w:rsidRPr="00A36839">
        <w:rPr>
          <w:rFonts w:ascii="Times" w:hAnsi="Times"/>
          <w:sz w:val="24"/>
          <w:szCs w:val="24"/>
        </w:rPr>
        <w:t>For Newell, as for the wider grower community, the NFF and other industry advocates, the answer has to be ‘dedicated agricultural staff’, that is, a visa program shaped to growers needs – meaning ‘appropriate visas in place to help rural businesses access the willing workers they need.’</w:t>
      </w:r>
      <w:r w:rsidRPr="00A36839">
        <w:rPr>
          <w:rStyle w:val="EndnoteReference"/>
          <w:rFonts w:ascii="Times" w:hAnsi="Times"/>
          <w:sz w:val="24"/>
          <w:szCs w:val="24"/>
        </w:rPr>
        <w:endnoteReference w:id="19"/>
      </w:r>
      <w:r w:rsidRPr="00A36839">
        <w:rPr>
          <w:rFonts w:ascii="Times" w:hAnsi="Times"/>
          <w:sz w:val="24"/>
          <w:szCs w:val="24"/>
        </w:rPr>
        <w:t xml:space="preserve"> Newell suggests that the government should ‘start with an amnesty for all illegal farm workers.’</w:t>
      </w:r>
      <w:r w:rsidRPr="00A36839">
        <w:rPr>
          <w:rStyle w:val="EndnoteReference"/>
          <w:rFonts w:ascii="Times" w:hAnsi="Times"/>
          <w:sz w:val="24"/>
          <w:szCs w:val="24"/>
        </w:rPr>
        <w:endnoteReference w:id="20"/>
      </w:r>
    </w:p>
    <w:p w14:paraId="45F26F9B" w14:textId="63B77BF7" w:rsidR="00E57697" w:rsidRPr="00A36839" w:rsidRDefault="00E57697" w:rsidP="00E57697">
      <w:pPr>
        <w:rPr>
          <w:rFonts w:ascii="Times" w:hAnsi="Times"/>
          <w:sz w:val="24"/>
          <w:szCs w:val="24"/>
        </w:rPr>
      </w:pPr>
      <w:r w:rsidRPr="00A36839">
        <w:rPr>
          <w:rFonts w:ascii="Times" w:hAnsi="Times"/>
          <w:sz w:val="24"/>
          <w:szCs w:val="24"/>
        </w:rPr>
        <w:t xml:space="preserve">Horticulturalists and their political representatives think they </w:t>
      </w:r>
      <w:r w:rsidR="004D7981" w:rsidRPr="00A36839">
        <w:rPr>
          <w:rFonts w:ascii="Times" w:hAnsi="Times"/>
          <w:sz w:val="24"/>
          <w:szCs w:val="24"/>
        </w:rPr>
        <w:t xml:space="preserve">have </w:t>
      </w:r>
      <w:r w:rsidRPr="00A36839">
        <w:rPr>
          <w:rFonts w:ascii="Times" w:hAnsi="Times"/>
          <w:sz w:val="24"/>
          <w:szCs w:val="24"/>
        </w:rPr>
        <w:t>an entitlement to a compliant migrant work force. Patrice Newell gives voice to their priorities. She cites the comments of the Prime Minister, Scott Morrison, who in October 2018 suggested that growers make a greater effort to use unemployed people to fill their vacancies.</w:t>
      </w:r>
      <w:r w:rsidRPr="00A36839">
        <w:rPr>
          <w:rStyle w:val="EndnoteReference"/>
          <w:rFonts w:ascii="Times" w:hAnsi="Times"/>
          <w:sz w:val="24"/>
          <w:szCs w:val="24"/>
        </w:rPr>
        <w:endnoteReference w:id="21"/>
      </w:r>
      <w:r w:rsidRPr="00A36839">
        <w:rPr>
          <w:rFonts w:ascii="Times" w:hAnsi="Times"/>
          <w:sz w:val="24"/>
          <w:szCs w:val="24"/>
        </w:rPr>
        <w:t xml:space="preserve"> Newell regards this as a juvenile remark. She knows that this is not possible because locals will not do the work on the terms and conditions offered. She says the response to Morrison’s comment was that ‘Farmer rage vibrated through the vegetable rows of the nation.</w:t>
      </w:r>
      <w:r w:rsidRPr="00A36839">
        <w:rPr>
          <w:rStyle w:val="EndnoteReference"/>
          <w:rFonts w:ascii="Times" w:hAnsi="Times"/>
          <w:sz w:val="24"/>
          <w:szCs w:val="24"/>
        </w:rPr>
        <w:endnoteReference w:id="22"/>
      </w:r>
      <w:r w:rsidRPr="00A36839">
        <w:rPr>
          <w:rFonts w:ascii="Times" w:hAnsi="Times"/>
          <w:sz w:val="24"/>
          <w:szCs w:val="24"/>
        </w:rPr>
        <w:t xml:space="preserve"> Australia, she says, is a country built on migrants, with the implication that such reliance to part of our national heritage.</w:t>
      </w:r>
    </w:p>
    <w:p w14:paraId="54A23C41" w14:textId="150945B5" w:rsidR="00415FE4" w:rsidRPr="00A36839" w:rsidRDefault="00947CB2">
      <w:pPr>
        <w:rPr>
          <w:rFonts w:ascii="Times" w:hAnsi="Times"/>
          <w:sz w:val="24"/>
          <w:szCs w:val="24"/>
        </w:rPr>
      </w:pPr>
      <w:r w:rsidRPr="00A36839">
        <w:rPr>
          <w:rFonts w:ascii="Times" w:hAnsi="Times"/>
          <w:sz w:val="24"/>
          <w:szCs w:val="24"/>
        </w:rPr>
        <w:t xml:space="preserve">Meanwhile the </w:t>
      </w:r>
      <w:r w:rsidR="00B82B0A" w:rsidRPr="00A36839">
        <w:rPr>
          <w:rFonts w:ascii="Times" w:hAnsi="Times"/>
          <w:sz w:val="24"/>
          <w:szCs w:val="24"/>
        </w:rPr>
        <w:t xml:space="preserve">horticultural </w:t>
      </w:r>
      <w:r w:rsidRPr="00A36839">
        <w:rPr>
          <w:rFonts w:ascii="Times" w:hAnsi="Times"/>
          <w:sz w:val="24"/>
          <w:szCs w:val="24"/>
        </w:rPr>
        <w:t>industry is subject to periodic bursts of indignation in the metropolitan media every time examples of ‘substandard’ pay and conditions are exposed.</w:t>
      </w:r>
    </w:p>
    <w:p w14:paraId="01B1C5E3" w14:textId="578537AE" w:rsidR="00415FE4" w:rsidRPr="00A36839" w:rsidRDefault="00B82B0A">
      <w:pPr>
        <w:rPr>
          <w:rFonts w:ascii="Times" w:hAnsi="Times"/>
          <w:sz w:val="24"/>
          <w:szCs w:val="24"/>
        </w:rPr>
      </w:pPr>
      <w:r w:rsidRPr="00A36839">
        <w:rPr>
          <w:rFonts w:ascii="Times" w:hAnsi="Times"/>
          <w:sz w:val="24"/>
          <w:szCs w:val="24"/>
        </w:rPr>
        <w:t xml:space="preserve">Always, following these revelations, there are </w:t>
      </w:r>
      <w:r w:rsidR="00066C2B" w:rsidRPr="00A36839">
        <w:rPr>
          <w:rFonts w:ascii="Times" w:hAnsi="Times"/>
          <w:sz w:val="24"/>
          <w:szCs w:val="24"/>
        </w:rPr>
        <w:t xml:space="preserve">promises to clean up the industry. It never happens because of the </w:t>
      </w:r>
      <w:r w:rsidR="00903D32" w:rsidRPr="00A36839">
        <w:rPr>
          <w:rFonts w:ascii="Times" w:hAnsi="Times"/>
          <w:sz w:val="24"/>
          <w:szCs w:val="24"/>
        </w:rPr>
        <w:t xml:space="preserve">marketplace pressures </w:t>
      </w:r>
      <w:r w:rsidR="00066C2B" w:rsidRPr="00A36839">
        <w:rPr>
          <w:rFonts w:ascii="Times" w:hAnsi="Times"/>
          <w:sz w:val="24"/>
          <w:szCs w:val="24"/>
        </w:rPr>
        <w:t>that growers face.</w:t>
      </w:r>
    </w:p>
    <w:p w14:paraId="02E156B8" w14:textId="77777777" w:rsidR="00A36839" w:rsidRPr="00A36839" w:rsidRDefault="00D87781">
      <w:pPr>
        <w:rPr>
          <w:rFonts w:ascii="Times" w:hAnsi="Times"/>
          <w:sz w:val="24"/>
          <w:szCs w:val="24"/>
        </w:rPr>
      </w:pPr>
      <w:r w:rsidRPr="00A36839">
        <w:rPr>
          <w:rFonts w:ascii="Times" w:hAnsi="Times"/>
          <w:sz w:val="24"/>
          <w:szCs w:val="24"/>
        </w:rPr>
        <w:t xml:space="preserve">We have reached an impasse. Growers feel that the Australian community must support </w:t>
      </w:r>
      <w:r w:rsidR="00903D32" w:rsidRPr="00A36839">
        <w:rPr>
          <w:rFonts w:ascii="Times" w:hAnsi="Times"/>
          <w:sz w:val="24"/>
          <w:szCs w:val="24"/>
        </w:rPr>
        <w:t>their</w:t>
      </w:r>
      <w:r w:rsidR="00415FE4" w:rsidRPr="00A36839">
        <w:rPr>
          <w:rFonts w:ascii="Times" w:hAnsi="Times"/>
          <w:sz w:val="24"/>
          <w:szCs w:val="24"/>
        </w:rPr>
        <w:t xml:space="preserve"> </w:t>
      </w:r>
      <w:r w:rsidRPr="00A36839">
        <w:rPr>
          <w:rFonts w:ascii="Times" w:hAnsi="Times"/>
          <w:sz w:val="24"/>
          <w:szCs w:val="24"/>
        </w:rPr>
        <w:t>industry</w:t>
      </w:r>
      <w:r w:rsidR="00903D32" w:rsidRPr="00A36839">
        <w:rPr>
          <w:rFonts w:ascii="Times" w:hAnsi="Times"/>
          <w:sz w:val="24"/>
          <w:szCs w:val="24"/>
        </w:rPr>
        <w:t xml:space="preserve">. Yet it </w:t>
      </w:r>
      <w:r w:rsidRPr="00A36839">
        <w:rPr>
          <w:rFonts w:ascii="Times" w:hAnsi="Times"/>
          <w:sz w:val="24"/>
          <w:szCs w:val="24"/>
        </w:rPr>
        <w:t>can only survive by offering wages and conditions that violate, not just the award structure, but also Australian expectations about how industry should operate in Australia.</w:t>
      </w:r>
    </w:p>
    <w:p w14:paraId="7ECEF9CC" w14:textId="48410ECB" w:rsidR="00415FE4" w:rsidRPr="00A36839" w:rsidRDefault="00D87781">
      <w:pPr>
        <w:rPr>
          <w:rFonts w:ascii="Times" w:hAnsi="Times"/>
          <w:sz w:val="24"/>
          <w:szCs w:val="24"/>
        </w:rPr>
      </w:pPr>
      <w:r w:rsidRPr="00A36839">
        <w:rPr>
          <w:rFonts w:ascii="Times" w:hAnsi="Times"/>
          <w:sz w:val="24"/>
          <w:szCs w:val="24"/>
        </w:rPr>
        <w:t xml:space="preserve">So far, successive Australian governments have tolerated this situation and, as indicated above, </w:t>
      </w:r>
      <w:r w:rsidR="004D7981" w:rsidRPr="00A36839">
        <w:rPr>
          <w:rFonts w:ascii="Times" w:hAnsi="Times"/>
          <w:sz w:val="24"/>
          <w:szCs w:val="24"/>
        </w:rPr>
        <w:t xml:space="preserve">have </w:t>
      </w:r>
      <w:r w:rsidRPr="00A36839">
        <w:rPr>
          <w:rFonts w:ascii="Times" w:hAnsi="Times"/>
          <w:sz w:val="24"/>
          <w:szCs w:val="24"/>
        </w:rPr>
        <w:t xml:space="preserve">moved </w:t>
      </w:r>
      <w:r w:rsidR="004D7981" w:rsidRPr="00A36839">
        <w:rPr>
          <w:rFonts w:ascii="Times" w:hAnsi="Times"/>
          <w:sz w:val="24"/>
          <w:szCs w:val="24"/>
        </w:rPr>
        <w:t xml:space="preserve">via the restructured WHM program </w:t>
      </w:r>
      <w:r w:rsidRPr="00A36839">
        <w:rPr>
          <w:rFonts w:ascii="Times" w:hAnsi="Times"/>
          <w:sz w:val="24"/>
          <w:szCs w:val="24"/>
        </w:rPr>
        <w:t xml:space="preserve">to provide the dedicated agricultural workforce the industry wants (even </w:t>
      </w:r>
      <w:r w:rsidR="00903D32" w:rsidRPr="00A36839">
        <w:rPr>
          <w:rFonts w:ascii="Times" w:hAnsi="Times"/>
          <w:sz w:val="24"/>
          <w:szCs w:val="24"/>
        </w:rPr>
        <w:t xml:space="preserve">though </w:t>
      </w:r>
      <w:r w:rsidRPr="00A36839">
        <w:rPr>
          <w:rFonts w:ascii="Times" w:hAnsi="Times"/>
          <w:sz w:val="24"/>
          <w:szCs w:val="24"/>
        </w:rPr>
        <w:t xml:space="preserve">not yet </w:t>
      </w:r>
      <w:r w:rsidR="00903D32" w:rsidRPr="00A36839">
        <w:rPr>
          <w:rFonts w:ascii="Times" w:hAnsi="Times"/>
          <w:sz w:val="24"/>
          <w:szCs w:val="24"/>
        </w:rPr>
        <w:t>fully satisfying the industry’s demands)</w:t>
      </w:r>
      <w:r w:rsidRPr="00A36839">
        <w:rPr>
          <w:rFonts w:ascii="Times" w:hAnsi="Times"/>
          <w:sz w:val="24"/>
          <w:szCs w:val="24"/>
        </w:rPr>
        <w:t>.</w:t>
      </w:r>
    </w:p>
    <w:p w14:paraId="5F67A3F5" w14:textId="1285D528" w:rsidR="00415FE4" w:rsidRPr="00A36839" w:rsidRDefault="00D87781" w:rsidP="006537D5">
      <w:pPr>
        <w:rPr>
          <w:rFonts w:ascii="Times" w:hAnsi="Times"/>
          <w:sz w:val="24"/>
          <w:szCs w:val="24"/>
        </w:rPr>
      </w:pPr>
      <w:r w:rsidRPr="00A36839">
        <w:rPr>
          <w:rFonts w:ascii="Times" w:hAnsi="Times"/>
          <w:sz w:val="24"/>
          <w:szCs w:val="24"/>
        </w:rPr>
        <w:lastRenderedPageBreak/>
        <w:t>To judge by the comments in its Discussion Paper</w:t>
      </w:r>
      <w:r w:rsidR="006537D5" w:rsidRPr="00A36839">
        <w:rPr>
          <w:rFonts w:ascii="Times" w:hAnsi="Times"/>
          <w:sz w:val="24"/>
          <w:szCs w:val="24"/>
        </w:rPr>
        <w:t xml:space="preserve">, the National Agricultural Labour Advisory Committee is </w:t>
      </w:r>
      <w:r w:rsidR="009B2199" w:rsidRPr="00A36839">
        <w:rPr>
          <w:rFonts w:ascii="Times" w:hAnsi="Times"/>
          <w:sz w:val="24"/>
          <w:szCs w:val="24"/>
        </w:rPr>
        <w:t xml:space="preserve">not </w:t>
      </w:r>
      <w:r w:rsidR="006537D5" w:rsidRPr="00A36839">
        <w:rPr>
          <w:rFonts w:ascii="Times" w:hAnsi="Times"/>
          <w:sz w:val="24"/>
          <w:szCs w:val="24"/>
        </w:rPr>
        <w:t>about to challenge this impasse. It notes that the Australian Government ‘has signalled its ongoing commitment to supporting regional employers by enacting several changes to migration and visa settings to</w:t>
      </w:r>
      <w:r w:rsidR="00A36839" w:rsidRPr="00A36839">
        <w:rPr>
          <w:rFonts w:ascii="Times" w:hAnsi="Times"/>
          <w:sz w:val="24"/>
          <w:szCs w:val="24"/>
        </w:rPr>
        <w:t xml:space="preserve"> </w:t>
      </w:r>
      <w:r w:rsidR="006537D5" w:rsidRPr="00A36839">
        <w:rPr>
          <w:rFonts w:ascii="Times" w:hAnsi="Times"/>
          <w:sz w:val="24"/>
          <w:szCs w:val="24"/>
        </w:rPr>
        <w:t xml:space="preserve">support the agricultural industry to access migrant workers.’ </w:t>
      </w:r>
      <w:r w:rsidR="00D04240" w:rsidRPr="00A36839">
        <w:rPr>
          <w:rFonts w:ascii="Times" w:hAnsi="Times"/>
          <w:sz w:val="24"/>
          <w:szCs w:val="24"/>
        </w:rPr>
        <w:t xml:space="preserve">However, the Advisory Committee </w:t>
      </w:r>
      <w:r w:rsidR="006537D5" w:rsidRPr="00A36839">
        <w:rPr>
          <w:rFonts w:ascii="Times" w:hAnsi="Times"/>
          <w:sz w:val="24"/>
          <w:szCs w:val="24"/>
        </w:rPr>
        <w:t>does acknowledge that ‘the exploitation of migrant workers is a serious issue.’</w:t>
      </w:r>
      <w:r w:rsidR="006537D5" w:rsidRPr="00A36839">
        <w:rPr>
          <w:rStyle w:val="EndnoteReference"/>
          <w:rFonts w:ascii="Times" w:hAnsi="Times"/>
          <w:sz w:val="24"/>
          <w:szCs w:val="24"/>
        </w:rPr>
        <w:endnoteReference w:id="23"/>
      </w:r>
    </w:p>
    <w:p w14:paraId="3C6C50C2" w14:textId="77777777" w:rsidR="00A36839" w:rsidRPr="00A36839" w:rsidRDefault="00854DC3" w:rsidP="006537D5">
      <w:pPr>
        <w:rPr>
          <w:rFonts w:ascii="Times" w:hAnsi="Times"/>
          <w:sz w:val="24"/>
          <w:szCs w:val="24"/>
        </w:rPr>
      </w:pPr>
      <w:r w:rsidRPr="00A36839">
        <w:rPr>
          <w:rFonts w:ascii="Times" w:hAnsi="Times"/>
          <w:sz w:val="24"/>
          <w:szCs w:val="24"/>
        </w:rPr>
        <w:t xml:space="preserve">I believe that there are </w:t>
      </w:r>
      <w:r w:rsidR="005F2C34" w:rsidRPr="00A36839">
        <w:rPr>
          <w:rFonts w:ascii="Times" w:hAnsi="Times"/>
          <w:sz w:val="24"/>
          <w:szCs w:val="24"/>
        </w:rPr>
        <w:t xml:space="preserve">strong moral and economic grounds </w:t>
      </w:r>
      <w:r w:rsidRPr="00A36839">
        <w:rPr>
          <w:rFonts w:ascii="Times" w:hAnsi="Times"/>
          <w:sz w:val="24"/>
          <w:szCs w:val="24"/>
        </w:rPr>
        <w:t xml:space="preserve">for challenging the status quo in the horticultural industry. I </w:t>
      </w:r>
      <w:r w:rsidR="00E57697" w:rsidRPr="00A36839">
        <w:rPr>
          <w:rFonts w:ascii="Times" w:hAnsi="Times"/>
          <w:sz w:val="24"/>
          <w:szCs w:val="24"/>
        </w:rPr>
        <w:t xml:space="preserve">elaborate on </w:t>
      </w:r>
      <w:r w:rsidRPr="00A36839">
        <w:rPr>
          <w:rFonts w:ascii="Times" w:hAnsi="Times"/>
          <w:sz w:val="24"/>
          <w:szCs w:val="24"/>
        </w:rPr>
        <w:t xml:space="preserve">these grounds first, then turn to the implications of the </w:t>
      </w:r>
      <w:r w:rsidR="005F2C34" w:rsidRPr="00A36839">
        <w:rPr>
          <w:rFonts w:ascii="Times" w:hAnsi="Times"/>
          <w:sz w:val="24"/>
          <w:szCs w:val="24"/>
        </w:rPr>
        <w:t>Covid</w:t>
      </w:r>
      <w:r w:rsidR="00E57697" w:rsidRPr="00A36839">
        <w:rPr>
          <w:rFonts w:ascii="Times" w:hAnsi="Times"/>
          <w:sz w:val="24"/>
          <w:szCs w:val="24"/>
        </w:rPr>
        <w:t>-</w:t>
      </w:r>
      <w:r w:rsidR="005F2C34" w:rsidRPr="00A36839">
        <w:rPr>
          <w:rFonts w:ascii="Times" w:hAnsi="Times"/>
          <w:sz w:val="24"/>
          <w:szCs w:val="24"/>
        </w:rPr>
        <w:t>19 pandemic</w:t>
      </w:r>
      <w:r w:rsidRPr="00A36839">
        <w:rPr>
          <w:rFonts w:ascii="Times" w:hAnsi="Times"/>
          <w:sz w:val="24"/>
          <w:szCs w:val="24"/>
        </w:rPr>
        <w:t>.</w:t>
      </w:r>
    </w:p>
    <w:p w14:paraId="6044ABBA" w14:textId="19C88393" w:rsidR="009B2199" w:rsidRPr="00A36839" w:rsidRDefault="009B2199" w:rsidP="00A36839">
      <w:pPr>
        <w:pStyle w:val="Heading2"/>
      </w:pPr>
      <w:bookmarkStart w:id="18" w:name="_Toc46319548"/>
      <w:bookmarkStart w:id="19" w:name="_Toc46319734"/>
      <w:r w:rsidRPr="00A36839">
        <w:t xml:space="preserve">A </w:t>
      </w:r>
      <w:r w:rsidR="00854DC3" w:rsidRPr="00A36839">
        <w:t>moral critique</w:t>
      </w:r>
      <w:bookmarkEnd w:id="18"/>
      <w:bookmarkEnd w:id="19"/>
    </w:p>
    <w:p w14:paraId="2727F48C" w14:textId="77777777" w:rsidR="00415FE4" w:rsidRPr="00A36839" w:rsidRDefault="009B2199" w:rsidP="006537D5">
      <w:pPr>
        <w:rPr>
          <w:rFonts w:ascii="Times" w:hAnsi="Times"/>
          <w:sz w:val="24"/>
          <w:szCs w:val="24"/>
        </w:rPr>
      </w:pPr>
      <w:r w:rsidRPr="00A36839">
        <w:rPr>
          <w:rFonts w:ascii="Times" w:hAnsi="Times"/>
          <w:sz w:val="24"/>
          <w:szCs w:val="24"/>
        </w:rPr>
        <w:t xml:space="preserve">Newell draws on Australia’s </w:t>
      </w:r>
      <w:r w:rsidR="00854DC3" w:rsidRPr="00A36839">
        <w:rPr>
          <w:rFonts w:ascii="Times" w:hAnsi="Times"/>
          <w:sz w:val="24"/>
          <w:szCs w:val="24"/>
        </w:rPr>
        <w:t xml:space="preserve">alleged </w:t>
      </w:r>
      <w:r w:rsidRPr="00A36839">
        <w:rPr>
          <w:rFonts w:ascii="Times" w:hAnsi="Times"/>
          <w:sz w:val="24"/>
          <w:szCs w:val="24"/>
        </w:rPr>
        <w:t>heritage as a migrant nation</w:t>
      </w:r>
      <w:r w:rsidR="00854DC3" w:rsidRPr="00A36839">
        <w:rPr>
          <w:rFonts w:ascii="Times" w:hAnsi="Times"/>
          <w:sz w:val="24"/>
          <w:szCs w:val="24"/>
        </w:rPr>
        <w:t xml:space="preserve">. </w:t>
      </w:r>
      <w:r w:rsidRPr="00A36839">
        <w:rPr>
          <w:rFonts w:ascii="Times" w:hAnsi="Times"/>
          <w:sz w:val="24"/>
          <w:szCs w:val="24"/>
        </w:rPr>
        <w:t xml:space="preserve">However, there is another tradition, even more important to Australia’s evolution. This is the ideal and the </w:t>
      </w:r>
      <w:r w:rsidR="00854DC3" w:rsidRPr="00A36839">
        <w:rPr>
          <w:rFonts w:ascii="Times" w:hAnsi="Times"/>
          <w:sz w:val="24"/>
          <w:szCs w:val="24"/>
        </w:rPr>
        <w:t xml:space="preserve">institutional practices intended to ensure </w:t>
      </w:r>
      <w:r w:rsidRPr="00A36839">
        <w:rPr>
          <w:rFonts w:ascii="Times" w:hAnsi="Times"/>
          <w:sz w:val="24"/>
          <w:szCs w:val="24"/>
        </w:rPr>
        <w:t>that no industry should</w:t>
      </w:r>
      <w:r w:rsidR="00854DC3" w:rsidRPr="00A36839">
        <w:rPr>
          <w:rFonts w:ascii="Times" w:hAnsi="Times"/>
          <w:sz w:val="24"/>
          <w:szCs w:val="24"/>
        </w:rPr>
        <w:t xml:space="preserve"> flourish</w:t>
      </w:r>
      <w:r w:rsidRPr="00A36839">
        <w:rPr>
          <w:rFonts w:ascii="Times" w:hAnsi="Times"/>
          <w:sz w:val="24"/>
          <w:szCs w:val="24"/>
        </w:rPr>
        <w:t xml:space="preserve"> if it cannot meet Australian standards of pay and conditions.</w:t>
      </w:r>
    </w:p>
    <w:p w14:paraId="1DB95A32" w14:textId="4D58F9A7" w:rsidR="00415FE4" w:rsidRPr="00A36839" w:rsidRDefault="009B2199" w:rsidP="006537D5">
      <w:pPr>
        <w:rPr>
          <w:rFonts w:ascii="Times" w:hAnsi="Times"/>
          <w:sz w:val="24"/>
          <w:szCs w:val="24"/>
        </w:rPr>
      </w:pPr>
      <w:r w:rsidRPr="00A36839">
        <w:rPr>
          <w:rFonts w:ascii="Times" w:hAnsi="Times"/>
          <w:sz w:val="24"/>
          <w:szCs w:val="24"/>
        </w:rPr>
        <w:t xml:space="preserve">The sugar industry is an emblematic case. Until the 1890s the industry depended on indentured Melanesian labour. One of the first acts of the </w:t>
      </w:r>
      <w:r w:rsidR="00854DC3" w:rsidRPr="00A36839">
        <w:rPr>
          <w:rFonts w:ascii="Times" w:hAnsi="Times"/>
          <w:sz w:val="24"/>
          <w:szCs w:val="24"/>
        </w:rPr>
        <w:t xml:space="preserve">new </w:t>
      </w:r>
      <w:r w:rsidRPr="00A36839">
        <w:rPr>
          <w:rFonts w:ascii="Times" w:hAnsi="Times"/>
          <w:sz w:val="24"/>
          <w:szCs w:val="24"/>
        </w:rPr>
        <w:t xml:space="preserve">Commonwealth </w:t>
      </w:r>
      <w:r w:rsidR="00E57697" w:rsidRPr="00A36839">
        <w:rPr>
          <w:rFonts w:ascii="Times" w:hAnsi="Times"/>
          <w:sz w:val="24"/>
          <w:szCs w:val="24"/>
        </w:rPr>
        <w:t xml:space="preserve">in </w:t>
      </w:r>
      <w:r w:rsidR="004D7981" w:rsidRPr="00A36839">
        <w:rPr>
          <w:rFonts w:ascii="Times" w:hAnsi="Times"/>
          <w:sz w:val="24"/>
          <w:szCs w:val="24"/>
        </w:rPr>
        <w:t>1901</w:t>
      </w:r>
      <w:r w:rsidR="00E57697" w:rsidRPr="00A36839">
        <w:rPr>
          <w:rFonts w:ascii="Times" w:hAnsi="Times"/>
          <w:sz w:val="24"/>
          <w:szCs w:val="24"/>
        </w:rPr>
        <w:t xml:space="preserve"> </w:t>
      </w:r>
      <w:r w:rsidRPr="00A36839">
        <w:rPr>
          <w:rFonts w:ascii="Times" w:hAnsi="Times"/>
          <w:sz w:val="24"/>
          <w:szCs w:val="24"/>
        </w:rPr>
        <w:t xml:space="preserve">was to proscribe this source of labour. Later, the market price of sugar was </w:t>
      </w:r>
      <w:r w:rsidR="004D7981" w:rsidRPr="00A36839">
        <w:rPr>
          <w:rFonts w:ascii="Times" w:hAnsi="Times"/>
          <w:sz w:val="24"/>
          <w:szCs w:val="24"/>
        </w:rPr>
        <w:t xml:space="preserve">subsidised via a sugar bounty that enabled </w:t>
      </w:r>
      <w:r w:rsidRPr="00A36839">
        <w:rPr>
          <w:rFonts w:ascii="Times" w:hAnsi="Times"/>
          <w:sz w:val="24"/>
          <w:szCs w:val="24"/>
        </w:rPr>
        <w:t>growers to employ residents on wages and conditions that met Australian standards</w:t>
      </w:r>
      <w:r w:rsidR="009A4B97" w:rsidRPr="00A36839">
        <w:rPr>
          <w:rFonts w:ascii="Times" w:hAnsi="Times"/>
          <w:sz w:val="24"/>
          <w:szCs w:val="24"/>
        </w:rPr>
        <w:t xml:space="preserve"> (that is, those sufficient for a dignified lifestyle - according to prevailing Australian standards</w:t>
      </w:r>
      <w:r w:rsidR="00E57697" w:rsidRPr="00A36839">
        <w:rPr>
          <w:rFonts w:ascii="Times" w:hAnsi="Times"/>
          <w:sz w:val="24"/>
          <w:szCs w:val="24"/>
        </w:rPr>
        <w:t>)</w:t>
      </w:r>
      <w:r w:rsidR="009A4B97" w:rsidRPr="00A36839">
        <w:rPr>
          <w:rFonts w:ascii="Times" w:hAnsi="Times"/>
          <w:sz w:val="24"/>
          <w:szCs w:val="24"/>
        </w:rPr>
        <w:t>.</w:t>
      </w:r>
    </w:p>
    <w:p w14:paraId="435D3895" w14:textId="7F38F09B" w:rsidR="00415FE4" w:rsidRPr="00A36839" w:rsidRDefault="009B2199" w:rsidP="006537D5">
      <w:pPr>
        <w:rPr>
          <w:rFonts w:ascii="Times" w:hAnsi="Times"/>
          <w:sz w:val="24"/>
          <w:szCs w:val="24"/>
        </w:rPr>
      </w:pPr>
      <w:r w:rsidRPr="00A36839">
        <w:rPr>
          <w:rFonts w:ascii="Times" w:hAnsi="Times"/>
          <w:sz w:val="24"/>
          <w:szCs w:val="24"/>
        </w:rPr>
        <w:t>Th</w:t>
      </w:r>
      <w:r w:rsidR="009A4B97" w:rsidRPr="00A36839">
        <w:rPr>
          <w:rFonts w:ascii="Times" w:hAnsi="Times"/>
          <w:sz w:val="24"/>
          <w:szCs w:val="24"/>
        </w:rPr>
        <w:t xml:space="preserve">is principle </w:t>
      </w:r>
      <w:r w:rsidRPr="00A36839">
        <w:rPr>
          <w:rFonts w:ascii="Times" w:hAnsi="Times"/>
          <w:sz w:val="24"/>
          <w:szCs w:val="24"/>
        </w:rPr>
        <w:t xml:space="preserve">was embodied in Australian labour relations law. If an industry could </w:t>
      </w:r>
      <w:r w:rsidR="00095391" w:rsidRPr="00A36839">
        <w:rPr>
          <w:rFonts w:ascii="Times" w:hAnsi="Times"/>
          <w:sz w:val="24"/>
          <w:szCs w:val="24"/>
        </w:rPr>
        <w:t xml:space="preserve">not </w:t>
      </w:r>
      <w:r w:rsidRPr="00A36839">
        <w:rPr>
          <w:rFonts w:ascii="Times" w:hAnsi="Times"/>
          <w:sz w:val="24"/>
          <w:szCs w:val="24"/>
        </w:rPr>
        <w:t xml:space="preserve">survive without meeting these conditions it should not be allowed to exist. </w:t>
      </w:r>
      <w:r w:rsidR="005979C6" w:rsidRPr="00A36839">
        <w:rPr>
          <w:rFonts w:ascii="Times" w:hAnsi="Times"/>
          <w:sz w:val="24"/>
          <w:szCs w:val="24"/>
        </w:rPr>
        <w:t xml:space="preserve">In a celebrated </w:t>
      </w:r>
      <w:r w:rsidR="009A4B97" w:rsidRPr="00A36839">
        <w:rPr>
          <w:rFonts w:ascii="Times" w:hAnsi="Times"/>
          <w:sz w:val="24"/>
          <w:szCs w:val="24"/>
        </w:rPr>
        <w:t xml:space="preserve">1909 </w:t>
      </w:r>
      <w:r w:rsidR="005979C6" w:rsidRPr="00A36839">
        <w:rPr>
          <w:rFonts w:ascii="Times" w:hAnsi="Times"/>
          <w:sz w:val="24"/>
          <w:szCs w:val="24"/>
        </w:rPr>
        <w:t>judgement the president of the Arbitration Court</w:t>
      </w:r>
      <w:r w:rsidR="009A4B97" w:rsidRPr="00A36839">
        <w:rPr>
          <w:rFonts w:ascii="Times" w:hAnsi="Times"/>
          <w:sz w:val="24"/>
          <w:szCs w:val="24"/>
        </w:rPr>
        <w:t>,</w:t>
      </w:r>
      <w:r w:rsidR="005979C6" w:rsidRPr="00A36839">
        <w:rPr>
          <w:rFonts w:ascii="Times" w:hAnsi="Times"/>
          <w:sz w:val="24"/>
          <w:szCs w:val="24"/>
        </w:rPr>
        <w:t xml:space="preserve"> Justice Higgins</w:t>
      </w:r>
      <w:r w:rsidR="009A4B97" w:rsidRPr="00A36839">
        <w:rPr>
          <w:rFonts w:ascii="Times" w:hAnsi="Times"/>
          <w:sz w:val="24"/>
          <w:szCs w:val="24"/>
        </w:rPr>
        <w:t>,</w:t>
      </w:r>
      <w:r w:rsidR="005979C6" w:rsidRPr="00A36839">
        <w:rPr>
          <w:rFonts w:ascii="Times" w:hAnsi="Times"/>
          <w:sz w:val="24"/>
          <w:szCs w:val="24"/>
        </w:rPr>
        <w:t xml:space="preserve"> rejected a claim by BHP that it could not afford to </w:t>
      </w:r>
      <w:r w:rsidR="00E57697" w:rsidRPr="00A36839">
        <w:rPr>
          <w:rFonts w:ascii="Times" w:hAnsi="Times"/>
          <w:sz w:val="24"/>
          <w:szCs w:val="24"/>
        </w:rPr>
        <w:t xml:space="preserve">pay </w:t>
      </w:r>
      <w:r w:rsidR="005979C6" w:rsidRPr="00A36839">
        <w:rPr>
          <w:rFonts w:ascii="Times" w:hAnsi="Times"/>
          <w:sz w:val="24"/>
          <w:szCs w:val="24"/>
        </w:rPr>
        <w:t xml:space="preserve">a ‘living wage’ to employees at one of its Broken Hill mines. Higgins declared that he could not take account </w:t>
      </w:r>
      <w:r w:rsidR="004D7981" w:rsidRPr="00A36839">
        <w:rPr>
          <w:rFonts w:ascii="Times" w:hAnsi="Times"/>
          <w:sz w:val="24"/>
          <w:szCs w:val="24"/>
        </w:rPr>
        <w:t xml:space="preserve">of </w:t>
      </w:r>
      <w:r w:rsidR="00E57697" w:rsidRPr="00A36839">
        <w:rPr>
          <w:rFonts w:ascii="Times" w:hAnsi="Times"/>
          <w:sz w:val="24"/>
          <w:szCs w:val="24"/>
        </w:rPr>
        <w:t xml:space="preserve">the economics of the mine. If it could not pay a </w:t>
      </w:r>
      <w:r w:rsidR="00DC673A" w:rsidRPr="00A36839">
        <w:rPr>
          <w:rFonts w:ascii="Times" w:hAnsi="Times"/>
          <w:sz w:val="24"/>
          <w:szCs w:val="24"/>
        </w:rPr>
        <w:t>‘</w:t>
      </w:r>
      <w:r w:rsidR="00E57697" w:rsidRPr="00A36839">
        <w:rPr>
          <w:rFonts w:ascii="Times" w:hAnsi="Times"/>
          <w:sz w:val="24"/>
          <w:szCs w:val="24"/>
        </w:rPr>
        <w:t xml:space="preserve">living wage’ it did not deserve to survive. </w:t>
      </w:r>
      <w:r w:rsidR="005979C6" w:rsidRPr="00A36839">
        <w:rPr>
          <w:rFonts w:ascii="Times" w:hAnsi="Times"/>
          <w:sz w:val="24"/>
          <w:szCs w:val="24"/>
        </w:rPr>
        <w:t>He rejected BHP</w:t>
      </w:r>
      <w:r w:rsidR="00095391" w:rsidRPr="00A36839">
        <w:rPr>
          <w:rFonts w:ascii="Times" w:hAnsi="Times"/>
          <w:sz w:val="24"/>
          <w:szCs w:val="24"/>
        </w:rPr>
        <w:t>’</w:t>
      </w:r>
      <w:r w:rsidR="005979C6" w:rsidRPr="00A36839">
        <w:rPr>
          <w:rFonts w:ascii="Times" w:hAnsi="Times"/>
          <w:sz w:val="24"/>
          <w:szCs w:val="24"/>
        </w:rPr>
        <w:t>s claim.</w:t>
      </w:r>
      <w:r w:rsidR="005979C6" w:rsidRPr="00A36839">
        <w:rPr>
          <w:rStyle w:val="EndnoteReference"/>
          <w:rFonts w:ascii="Times" w:hAnsi="Times"/>
          <w:sz w:val="24"/>
          <w:szCs w:val="24"/>
        </w:rPr>
        <w:endnoteReference w:id="24"/>
      </w:r>
    </w:p>
    <w:p w14:paraId="01F8EAAE" w14:textId="4135B3CC" w:rsidR="00415FE4" w:rsidRPr="00A36839" w:rsidRDefault="005979C6" w:rsidP="006537D5">
      <w:pPr>
        <w:rPr>
          <w:rFonts w:ascii="Times" w:hAnsi="Times"/>
          <w:sz w:val="24"/>
          <w:szCs w:val="24"/>
        </w:rPr>
      </w:pPr>
      <w:r w:rsidRPr="00A36839">
        <w:rPr>
          <w:rFonts w:ascii="Times" w:hAnsi="Times"/>
          <w:sz w:val="24"/>
          <w:szCs w:val="24"/>
        </w:rPr>
        <w:t xml:space="preserve">You might say that those days are long past and that the market now reigns supreme. Since the Hawke/Keating embrace of globalisation, industry survival in Australia is supposed to be determined by capacity to compete in the international marketplace. If the horticultural industry </w:t>
      </w:r>
      <w:r w:rsidR="00E57697" w:rsidRPr="00A36839">
        <w:rPr>
          <w:rFonts w:ascii="Times" w:hAnsi="Times"/>
          <w:sz w:val="24"/>
          <w:szCs w:val="24"/>
        </w:rPr>
        <w:t xml:space="preserve">is surviving by virtue of its access to a </w:t>
      </w:r>
      <w:r w:rsidRPr="00A36839">
        <w:rPr>
          <w:rFonts w:ascii="Times" w:hAnsi="Times"/>
          <w:sz w:val="24"/>
          <w:szCs w:val="24"/>
        </w:rPr>
        <w:t>compliant temporary migrant labour</w:t>
      </w:r>
      <w:r w:rsidR="00E57697" w:rsidRPr="00A36839">
        <w:rPr>
          <w:rFonts w:ascii="Times" w:hAnsi="Times"/>
          <w:sz w:val="24"/>
          <w:szCs w:val="24"/>
        </w:rPr>
        <w:t xml:space="preserve"> force</w:t>
      </w:r>
      <w:r w:rsidRPr="00A36839">
        <w:rPr>
          <w:rFonts w:ascii="Times" w:hAnsi="Times"/>
          <w:sz w:val="24"/>
          <w:szCs w:val="24"/>
        </w:rPr>
        <w:t xml:space="preserve">, then </w:t>
      </w:r>
      <w:r w:rsidR="009A4B97" w:rsidRPr="00A36839">
        <w:rPr>
          <w:rFonts w:ascii="Times" w:hAnsi="Times"/>
          <w:sz w:val="24"/>
          <w:szCs w:val="24"/>
        </w:rPr>
        <w:t>where’s the moral dilemma?</w:t>
      </w:r>
    </w:p>
    <w:p w14:paraId="4664AF67" w14:textId="363A43D6" w:rsidR="00415FE4" w:rsidRPr="00A36839" w:rsidRDefault="00E57697" w:rsidP="006F6951">
      <w:pPr>
        <w:rPr>
          <w:rFonts w:ascii="Times" w:hAnsi="Times"/>
          <w:sz w:val="24"/>
          <w:szCs w:val="24"/>
        </w:rPr>
      </w:pPr>
      <w:r w:rsidRPr="00A36839">
        <w:rPr>
          <w:rFonts w:ascii="Times" w:hAnsi="Times"/>
          <w:sz w:val="24"/>
          <w:szCs w:val="24"/>
        </w:rPr>
        <w:t xml:space="preserve">There is </w:t>
      </w:r>
      <w:r w:rsidR="006F6951" w:rsidRPr="00A36839">
        <w:rPr>
          <w:rFonts w:ascii="Times" w:hAnsi="Times"/>
          <w:sz w:val="24"/>
          <w:szCs w:val="24"/>
        </w:rPr>
        <w:t xml:space="preserve">plenty of evidence that the wider Australian community still does evaluate the industry according to longstanding </w:t>
      </w:r>
      <w:r w:rsidRPr="00A36839">
        <w:rPr>
          <w:rFonts w:ascii="Times" w:hAnsi="Times"/>
          <w:sz w:val="24"/>
          <w:szCs w:val="24"/>
        </w:rPr>
        <w:t>Australian ‘fair wage’ t</w:t>
      </w:r>
      <w:r w:rsidR="006F6951" w:rsidRPr="00A36839">
        <w:rPr>
          <w:rFonts w:ascii="Times" w:hAnsi="Times"/>
          <w:sz w:val="24"/>
          <w:szCs w:val="24"/>
        </w:rPr>
        <w:t xml:space="preserve">raditions. This is evident in the </w:t>
      </w:r>
      <w:r w:rsidRPr="00A36839">
        <w:rPr>
          <w:rFonts w:ascii="Times" w:hAnsi="Times"/>
          <w:sz w:val="24"/>
          <w:szCs w:val="24"/>
        </w:rPr>
        <w:t>c</w:t>
      </w:r>
      <w:r w:rsidR="006F6951" w:rsidRPr="00A36839">
        <w:rPr>
          <w:rFonts w:ascii="Times" w:hAnsi="Times"/>
          <w:sz w:val="24"/>
          <w:szCs w:val="24"/>
        </w:rPr>
        <w:t>ommunity indignation generated whe</w:t>
      </w:r>
      <w:r w:rsidR="004D7981" w:rsidRPr="00A36839">
        <w:rPr>
          <w:rFonts w:ascii="Times" w:hAnsi="Times"/>
          <w:sz w:val="24"/>
          <w:szCs w:val="24"/>
        </w:rPr>
        <w:t>never</w:t>
      </w:r>
      <w:r w:rsidR="006F6951" w:rsidRPr="00A36839">
        <w:rPr>
          <w:rFonts w:ascii="Times" w:hAnsi="Times"/>
          <w:sz w:val="24"/>
          <w:szCs w:val="24"/>
        </w:rPr>
        <w:t xml:space="preserve"> </w:t>
      </w:r>
      <w:r w:rsidRPr="00A36839">
        <w:rPr>
          <w:rFonts w:ascii="Times" w:hAnsi="Times"/>
          <w:sz w:val="24"/>
          <w:szCs w:val="24"/>
        </w:rPr>
        <w:t xml:space="preserve">substandard </w:t>
      </w:r>
      <w:r w:rsidR="006F6951" w:rsidRPr="00A36839">
        <w:rPr>
          <w:rFonts w:ascii="Times" w:hAnsi="Times"/>
          <w:sz w:val="24"/>
          <w:szCs w:val="24"/>
        </w:rPr>
        <w:t>labour and conditions in the horticultural industry are exposed to public view.</w:t>
      </w:r>
    </w:p>
    <w:p w14:paraId="6A3131C3" w14:textId="3FB78907" w:rsidR="00B52CF8" w:rsidRPr="00A36839" w:rsidRDefault="006F6951" w:rsidP="00CB481D">
      <w:pPr>
        <w:rPr>
          <w:rFonts w:ascii="Times" w:hAnsi="Times"/>
          <w:sz w:val="24"/>
          <w:szCs w:val="24"/>
        </w:rPr>
      </w:pPr>
      <w:r w:rsidRPr="00A36839">
        <w:rPr>
          <w:rFonts w:ascii="Times" w:hAnsi="Times"/>
          <w:sz w:val="24"/>
          <w:szCs w:val="24"/>
        </w:rPr>
        <w:t>Whatever one</w:t>
      </w:r>
      <w:r w:rsidR="001B6782" w:rsidRPr="00A36839">
        <w:rPr>
          <w:rFonts w:ascii="Times" w:hAnsi="Times"/>
          <w:sz w:val="24"/>
          <w:szCs w:val="24"/>
        </w:rPr>
        <w:t>’</w:t>
      </w:r>
      <w:r w:rsidRPr="00A36839">
        <w:rPr>
          <w:rFonts w:ascii="Times" w:hAnsi="Times"/>
          <w:sz w:val="24"/>
          <w:szCs w:val="24"/>
        </w:rPr>
        <w:t xml:space="preserve">s views on this </w:t>
      </w:r>
      <w:r w:rsidR="004D7981" w:rsidRPr="00A36839">
        <w:rPr>
          <w:rFonts w:ascii="Times" w:hAnsi="Times"/>
          <w:sz w:val="24"/>
          <w:szCs w:val="24"/>
        </w:rPr>
        <w:t xml:space="preserve">situation, </w:t>
      </w:r>
      <w:r w:rsidRPr="00A36839">
        <w:rPr>
          <w:rFonts w:ascii="Times" w:hAnsi="Times"/>
          <w:sz w:val="24"/>
          <w:szCs w:val="24"/>
        </w:rPr>
        <w:t>there is a further issue</w:t>
      </w:r>
      <w:r w:rsidR="001B6782" w:rsidRPr="00A36839">
        <w:rPr>
          <w:rFonts w:ascii="Times" w:hAnsi="Times"/>
          <w:sz w:val="24"/>
          <w:szCs w:val="24"/>
        </w:rPr>
        <w:t>. This is</w:t>
      </w:r>
      <w:r w:rsidRPr="00A36839">
        <w:rPr>
          <w:rFonts w:ascii="Times" w:hAnsi="Times"/>
          <w:sz w:val="24"/>
          <w:szCs w:val="24"/>
        </w:rPr>
        <w:t xml:space="preserve"> whether the horticultural industry meets the criteria globalising advocates say ought to be characteristic of </w:t>
      </w:r>
      <w:r w:rsidR="003F2986" w:rsidRPr="00A36839">
        <w:rPr>
          <w:rFonts w:ascii="Times" w:hAnsi="Times"/>
          <w:sz w:val="24"/>
          <w:szCs w:val="24"/>
        </w:rPr>
        <w:t xml:space="preserve">industries </w:t>
      </w:r>
      <w:r w:rsidRPr="00A36839">
        <w:rPr>
          <w:rFonts w:ascii="Times" w:hAnsi="Times"/>
          <w:sz w:val="24"/>
          <w:szCs w:val="24"/>
        </w:rPr>
        <w:t xml:space="preserve">that flourish in the new competitive environment. </w:t>
      </w:r>
      <w:r w:rsidR="00B52CF8" w:rsidRPr="00A36839">
        <w:rPr>
          <w:rFonts w:ascii="Times" w:hAnsi="Times"/>
          <w:sz w:val="24"/>
          <w:szCs w:val="24"/>
        </w:rPr>
        <w:t xml:space="preserve">These advocates </w:t>
      </w:r>
      <w:r w:rsidR="005979C6" w:rsidRPr="00A36839">
        <w:rPr>
          <w:rFonts w:ascii="Times" w:hAnsi="Times"/>
          <w:sz w:val="24"/>
          <w:szCs w:val="24"/>
        </w:rPr>
        <w:t xml:space="preserve">have repeatedly assured Australian voters that </w:t>
      </w:r>
      <w:r w:rsidR="00B52CF8" w:rsidRPr="00A36839">
        <w:rPr>
          <w:rFonts w:ascii="Times" w:hAnsi="Times"/>
          <w:sz w:val="24"/>
          <w:szCs w:val="24"/>
        </w:rPr>
        <w:t xml:space="preserve">their strategy will result in </w:t>
      </w:r>
      <w:r w:rsidR="005979C6" w:rsidRPr="00A36839">
        <w:rPr>
          <w:rFonts w:ascii="Times" w:hAnsi="Times"/>
          <w:sz w:val="24"/>
          <w:szCs w:val="24"/>
        </w:rPr>
        <w:t>an economy based around knowledge intensive goods and services (supplemented by commodities).</w:t>
      </w:r>
    </w:p>
    <w:p w14:paraId="2B024B9B" w14:textId="4A999CFE" w:rsidR="00415FE4" w:rsidRPr="00A36839" w:rsidRDefault="005979C6" w:rsidP="00CB481D">
      <w:pPr>
        <w:rPr>
          <w:rFonts w:ascii="Times" w:hAnsi="Times"/>
          <w:sz w:val="24"/>
          <w:szCs w:val="24"/>
        </w:rPr>
      </w:pPr>
      <w:r w:rsidRPr="00A36839">
        <w:rPr>
          <w:rFonts w:ascii="Times" w:hAnsi="Times"/>
          <w:sz w:val="24"/>
          <w:szCs w:val="24"/>
        </w:rPr>
        <w:t>A horticultural industry reliant on low skill, low paid migrant labour is hardly consistent with this vision.</w:t>
      </w:r>
    </w:p>
    <w:p w14:paraId="48853779" w14:textId="77777777" w:rsidR="00A36839" w:rsidRPr="00A36839" w:rsidRDefault="00276DD9" w:rsidP="00CB481D">
      <w:pPr>
        <w:rPr>
          <w:rFonts w:ascii="Times" w:hAnsi="Times"/>
          <w:sz w:val="24"/>
          <w:szCs w:val="24"/>
        </w:rPr>
      </w:pPr>
      <w:r w:rsidRPr="00A36839">
        <w:rPr>
          <w:rFonts w:ascii="Times" w:hAnsi="Times"/>
          <w:sz w:val="24"/>
          <w:szCs w:val="24"/>
        </w:rPr>
        <w:lastRenderedPageBreak/>
        <w:t xml:space="preserve">In sum, there are powerful reasons for questioning the maintenance of present workforce arrangements in the horticulture industry. </w:t>
      </w:r>
      <w:r w:rsidR="005F70C9" w:rsidRPr="00A36839">
        <w:rPr>
          <w:rFonts w:ascii="Times" w:hAnsi="Times"/>
          <w:sz w:val="24"/>
          <w:szCs w:val="24"/>
        </w:rPr>
        <w:t xml:space="preserve">None of this cuts much ice with the industry and its advocates. </w:t>
      </w:r>
      <w:r w:rsidR="00DF66C3" w:rsidRPr="00A36839">
        <w:rPr>
          <w:rFonts w:ascii="Times" w:hAnsi="Times"/>
          <w:sz w:val="24"/>
          <w:szCs w:val="24"/>
        </w:rPr>
        <w:t xml:space="preserve">If they have their way, there will be a </w:t>
      </w:r>
      <w:r w:rsidR="005F70C9" w:rsidRPr="00A36839">
        <w:rPr>
          <w:rFonts w:ascii="Times" w:hAnsi="Times"/>
          <w:sz w:val="24"/>
          <w:szCs w:val="24"/>
        </w:rPr>
        <w:t xml:space="preserve">continued influx of temporary migrant workers drawn from WHMs and from the </w:t>
      </w:r>
      <w:r w:rsidR="00B52CF8" w:rsidRPr="00A36839">
        <w:rPr>
          <w:rFonts w:ascii="Times" w:hAnsi="Times"/>
          <w:sz w:val="24"/>
          <w:szCs w:val="24"/>
        </w:rPr>
        <w:t xml:space="preserve">growing </w:t>
      </w:r>
      <w:r w:rsidR="00DC673A" w:rsidRPr="00A36839">
        <w:rPr>
          <w:rFonts w:ascii="Times" w:hAnsi="Times"/>
          <w:sz w:val="24"/>
          <w:szCs w:val="24"/>
        </w:rPr>
        <w:t xml:space="preserve">temporary entry migrant </w:t>
      </w:r>
      <w:r w:rsidR="00B52CF8" w:rsidRPr="00A36839">
        <w:rPr>
          <w:rFonts w:ascii="Times" w:hAnsi="Times"/>
          <w:sz w:val="24"/>
          <w:szCs w:val="24"/>
        </w:rPr>
        <w:t>underclass</w:t>
      </w:r>
      <w:r w:rsidR="00E57697" w:rsidRPr="00A36839">
        <w:rPr>
          <w:rFonts w:ascii="Times" w:hAnsi="Times"/>
          <w:sz w:val="24"/>
          <w:szCs w:val="24"/>
        </w:rPr>
        <w:t xml:space="preserve"> and maybe the creation of a ‘designated’ agricultural visa which gives the recipients no option but to find employment in the industry</w:t>
      </w:r>
      <w:r w:rsidR="005F70C9" w:rsidRPr="00A36839">
        <w:rPr>
          <w:rFonts w:ascii="Times" w:hAnsi="Times"/>
          <w:sz w:val="24"/>
          <w:szCs w:val="24"/>
        </w:rPr>
        <w:t>.</w:t>
      </w:r>
    </w:p>
    <w:p w14:paraId="5CBBDA08" w14:textId="2262EF5B" w:rsidR="00415FE4" w:rsidRPr="00A36839" w:rsidRDefault="004D7981" w:rsidP="00A36839">
      <w:pPr>
        <w:pStyle w:val="Heading2"/>
      </w:pPr>
      <w:bookmarkStart w:id="20" w:name="_Toc46319549"/>
      <w:bookmarkStart w:id="21" w:name="_Toc46319735"/>
      <w:r w:rsidRPr="00A36839">
        <w:t>The implications of co</w:t>
      </w:r>
      <w:r w:rsidR="005F70C9" w:rsidRPr="00A36839">
        <w:t>vid-19</w:t>
      </w:r>
      <w:bookmarkEnd w:id="20"/>
      <w:bookmarkEnd w:id="21"/>
    </w:p>
    <w:p w14:paraId="5F6C3E1A" w14:textId="77777777" w:rsidR="00A36839" w:rsidRPr="00A36839" w:rsidRDefault="00DF66C3">
      <w:pPr>
        <w:rPr>
          <w:rFonts w:ascii="Times" w:hAnsi="Times"/>
          <w:sz w:val="24"/>
          <w:szCs w:val="24"/>
        </w:rPr>
      </w:pPr>
      <w:r w:rsidRPr="00A36839">
        <w:rPr>
          <w:rFonts w:ascii="Times" w:hAnsi="Times"/>
          <w:sz w:val="24"/>
          <w:szCs w:val="24"/>
        </w:rPr>
        <w:t>C</w:t>
      </w:r>
      <w:r w:rsidR="005F70C9" w:rsidRPr="00A36839">
        <w:rPr>
          <w:rFonts w:ascii="Times" w:hAnsi="Times"/>
          <w:sz w:val="24"/>
          <w:szCs w:val="24"/>
        </w:rPr>
        <w:t>ovid-19</w:t>
      </w:r>
      <w:r w:rsidR="00B52CF8" w:rsidRPr="00A36839">
        <w:rPr>
          <w:rFonts w:ascii="Times" w:hAnsi="Times"/>
          <w:sz w:val="24"/>
          <w:szCs w:val="24"/>
        </w:rPr>
        <w:t xml:space="preserve"> may well </w:t>
      </w:r>
      <w:r w:rsidR="005F70C9" w:rsidRPr="00A36839">
        <w:rPr>
          <w:rFonts w:ascii="Times" w:hAnsi="Times"/>
          <w:sz w:val="24"/>
          <w:szCs w:val="24"/>
        </w:rPr>
        <w:t>torpedo the</w:t>
      </w:r>
      <w:r w:rsidRPr="00A36839">
        <w:rPr>
          <w:rFonts w:ascii="Times" w:hAnsi="Times"/>
          <w:sz w:val="24"/>
          <w:szCs w:val="24"/>
        </w:rPr>
        <w:t>se</w:t>
      </w:r>
      <w:r w:rsidR="005F70C9" w:rsidRPr="00A36839">
        <w:rPr>
          <w:rFonts w:ascii="Times" w:hAnsi="Times"/>
          <w:sz w:val="24"/>
          <w:szCs w:val="24"/>
        </w:rPr>
        <w:t xml:space="preserve"> business as usual arrangements. </w:t>
      </w:r>
      <w:r w:rsidR="003F2986" w:rsidRPr="00A36839">
        <w:rPr>
          <w:rFonts w:ascii="Times" w:hAnsi="Times"/>
          <w:sz w:val="24"/>
          <w:szCs w:val="24"/>
        </w:rPr>
        <w:t>This will be</w:t>
      </w:r>
      <w:r w:rsidR="00E330FD" w:rsidRPr="00A36839">
        <w:rPr>
          <w:rFonts w:ascii="Times" w:hAnsi="Times"/>
          <w:sz w:val="24"/>
          <w:szCs w:val="24"/>
        </w:rPr>
        <w:t xml:space="preserve"> partly because of the loss of hundreds of thousands of jobs in lower skilled metropolitan industries such as hospitality, retail and the like. The pressure on the horticultural industry to offer employment to these domestic workers will surely mount.</w:t>
      </w:r>
    </w:p>
    <w:p w14:paraId="00394E48" w14:textId="39ADE663" w:rsidR="00A36839" w:rsidRPr="00A36839" w:rsidRDefault="00E330FD">
      <w:pPr>
        <w:rPr>
          <w:rFonts w:ascii="Times" w:hAnsi="Times"/>
          <w:sz w:val="24"/>
          <w:szCs w:val="24"/>
        </w:rPr>
      </w:pPr>
      <w:r w:rsidRPr="00A36839">
        <w:rPr>
          <w:rFonts w:ascii="Times" w:hAnsi="Times"/>
          <w:sz w:val="24"/>
          <w:szCs w:val="24"/>
        </w:rPr>
        <w:t>More fundamentally, Covid-19 may well truncate the flow of temporary migrants into Australia and thus into the ranks of the horticultural workforce.</w:t>
      </w:r>
    </w:p>
    <w:p w14:paraId="2FC00863" w14:textId="6CD9F282" w:rsidR="00E330FD" w:rsidRPr="00A36839" w:rsidRDefault="007C4DE6">
      <w:pPr>
        <w:rPr>
          <w:rFonts w:ascii="Times" w:hAnsi="Times"/>
          <w:sz w:val="24"/>
          <w:szCs w:val="24"/>
        </w:rPr>
      </w:pPr>
      <w:r w:rsidRPr="00A36839">
        <w:rPr>
          <w:rFonts w:ascii="Times" w:hAnsi="Times"/>
          <w:sz w:val="24"/>
          <w:szCs w:val="24"/>
        </w:rPr>
        <w:t>Why?</w:t>
      </w:r>
    </w:p>
    <w:p w14:paraId="3BBB5824" w14:textId="77777777" w:rsidR="00415FE4" w:rsidRPr="00A36839" w:rsidRDefault="00B52CF8">
      <w:pPr>
        <w:rPr>
          <w:rFonts w:ascii="Times" w:hAnsi="Times"/>
          <w:sz w:val="24"/>
          <w:szCs w:val="24"/>
        </w:rPr>
      </w:pPr>
      <w:r w:rsidRPr="00A36839">
        <w:rPr>
          <w:rFonts w:ascii="Times" w:hAnsi="Times"/>
          <w:sz w:val="24"/>
          <w:szCs w:val="24"/>
        </w:rPr>
        <w:t>For this to happen you have to imagine that the Commonwealth government will issue a similar number of first visas to WHMs as was the case in 2018-19, when as Table 1 shows 165,817 were granted (with the great majority issued offshore and thus having to travel to Australia).</w:t>
      </w:r>
    </w:p>
    <w:p w14:paraId="1AE155C6" w14:textId="77777777" w:rsidR="00A36839" w:rsidRPr="00A36839" w:rsidRDefault="009A2397">
      <w:pPr>
        <w:rPr>
          <w:rFonts w:ascii="Times" w:hAnsi="Times"/>
          <w:sz w:val="24"/>
          <w:szCs w:val="24"/>
        </w:rPr>
      </w:pPr>
      <w:r w:rsidRPr="00A36839">
        <w:rPr>
          <w:rFonts w:ascii="Times" w:hAnsi="Times"/>
          <w:sz w:val="24"/>
          <w:szCs w:val="24"/>
        </w:rPr>
        <w:t xml:space="preserve">Such an inflow is </w:t>
      </w:r>
      <w:r w:rsidR="00E330FD" w:rsidRPr="00A36839">
        <w:rPr>
          <w:rFonts w:ascii="Times" w:hAnsi="Times"/>
          <w:sz w:val="24"/>
          <w:szCs w:val="24"/>
        </w:rPr>
        <w:t xml:space="preserve">highly unlikely. </w:t>
      </w:r>
      <w:r w:rsidR="007C4DE6" w:rsidRPr="00A36839">
        <w:rPr>
          <w:rFonts w:ascii="Times" w:hAnsi="Times"/>
          <w:sz w:val="24"/>
          <w:szCs w:val="24"/>
        </w:rPr>
        <w:t xml:space="preserve">This is because to </w:t>
      </w:r>
      <w:r w:rsidR="006F7595" w:rsidRPr="00A36839">
        <w:rPr>
          <w:rFonts w:ascii="Times" w:hAnsi="Times"/>
          <w:sz w:val="24"/>
          <w:szCs w:val="24"/>
        </w:rPr>
        <w:t>permit it</w:t>
      </w:r>
      <w:r w:rsidR="007C4DE6" w:rsidRPr="00A36839">
        <w:rPr>
          <w:rFonts w:ascii="Times" w:hAnsi="Times"/>
          <w:sz w:val="24"/>
          <w:szCs w:val="24"/>
        </w:rPr>
        <w:t xml:space="preserve"> would be to violate the strategy </w:t>
      </w:r>
      <w:r w:rsidR="00E330FD" w:rsidRPr="00A36839">
        <w:rPr>
          <w:rFonts w:ascii="Times" w:hAnsi="Times"/>
          <w:sz w:val="24"/>
          <w:szCs w:val="24"/>
        </w:rPr>
        <w:t xml:space="preserve">Australian </w:t>
      </w:r>
      <w:r w:rsidR="006E637C" w:rsidRPr="00A36839">
        <w:rPr>
          <w:rFonts w:ascii="Times" w:hAnsi="Times"/>
          <w:sz w:val="24"/>
          <w:szCs w:val="24"/>
        </w:rPr>
        <w:t xml:space="preserve">governments have pursued </w:t>
      </w:r>
      <w:r w:rsidR="00E330FD" w:rsidRPr="00A36839">
        <w:rPr>
          <w:rFonts w:ascii="Times" w:hAnsi="Times"/>
          <w:sz w:val="24"/>
          <w:szCs w:val="24"/>
        </w:rPr>
        <w:t xml:space="preserve">in </w:t>
      </w:r>
      <w:r w:rsidR="006E637C" w:rsidRPr="00A36839">
        <w:rPr>
          <w:rFonts w:ascii="Times" w:hAnsi="Times"/>
          <w:sz w:val="24"/>
          <w:szCs w:val="24"/>
        </w:rPr>
        <w:t xml:space="preserve">controlling </w:t>
      </w:r>
      <w:r w:rsidR="00E330FD" w:rsidRPr="00A36839">
        <w:rPr>
          <w:rFonts w:ascii="Times" w:hAnsi="Times"/>
          <w:sz w:val="24"/>
          <w:szCs w:val="24"/>
        </w:rPr>
        <w:t>the Covid</w:t>
      </w:r>
      <w:r w:rsidR="007C4DE6" w:rsidRPr="00A36839">
        <w:rPr>
          <w:rFonts w:ascii="Times" w:hAnsi="Times"/>
          <w:sz w:val="24"/>
          <w:szCs w:val="24"/>
        </w:rPr>
        <w:t>-</w:t>
      </w:r>
      <w:r w:rsidR="00E330FD" w:rsidRPr="00A36839">
        <w:rPr>
          <w:rFonts w:ascii="Times" w:hAnsi="Times"/>
          <w:sz w:val="24"/>
          <w:szCs w:val="24"/>
        </w:rPr>
        <w:t>19 virus.</w:t>
      </w:r>
    </w:p>
    <w:p w14:paraId="073DD12F" w14:textId="77777777" w:rsidR="00A36839" w:rsidRPr="00A36839" w:rsidRDefault="007C4DE6" w:rsidP="004346AA">
      <w:pPr>
        <w:rPr>
          <w:rFonts w:ascii="Times" w:hAnsi="Times"/>
          <w:sz w:val="24"/>
          <w:szCs w:val="24"/>
        </w:rPr>
      </w:pPr>
      <w:r w:rsidRPr="00A36839">
        <w:rPr>
          <w:rFonts w:ascii="Times" w:hAnsi="Times"/>
          <w:sz w:val="24"/>
          <w:szCs w:val="24"/>
        </w:rPr>
        <w:t xml:space="preserve">The </w:t>
      </w:r>
      <w:r w:rsidR="00643280" w:rsidRPr="00A36839">
        <w:rPr>
          <w:rFonts w:ascii="Times" w:hAnsi="Times"/>
          <w:sz w:val="24"/>
          <w:szCs w:val="24"/>
        </w:rPr>
        <w:t xml:space="preserve">stated </w:t>
      </w:r>
      <w:r w:rsidRPr="00A36839">
        <w:rPr>
          <w:rFonts w:ascii="Times" w:hAnsi="Times"/>
          <w:sz w:val="24"/>
          <w:szCs w:val="24"/>
        </w:rPr>
        <w:t>goal is keep the resident population in lockdown until, on the basis of widespread testing</w:t>
      </w:r>
      <w:r w:rsidR="007665B9" w:rsidRPr="00A36839">
        <w:rPr>
          <w:rFonts w:ascii="Times" w:hAnsi="Times"/>
          <w:sz w:val="24"/>
          <w:szCs w:val="24"/>
        </w:rPr>
        <w:t>,</w:t>
      </w:r>
      <w:r w:rsidRPr="00A36839">
        <w:rPr>
          <w:rFonts w:ascii="Times" w:hAnsi="Times"/>
          <w:sz w:val="24"/>
          <w:szCs w:val="24"/>
        </w:rPr>
        <w:t xml:space="preserve"> the medical authorities are sure that the populace is </w:t>
      </w:r>
      <w:r w:rsidR="007665B9" w:rsidRPr="00A36839">
        <w:rPr>
          <w:rFonts w:ascii="Times" w:hAnsi="Times"/>
          <w:sz w:val="24"/>
          <w:szCs w:val="24"/>
        </w:rPr>
        <w:t>clear</w:t>
      </w:r>
      <w:r w:rsidR="00E57697" w:rsidRPr="00A36839">
        <w:rPr>
          <w:rFonts w:ascii="Times" w:hAnsi="Times"/>
          <w:sz w:val="24"/>
          <w:szCs w:val="24"/>
        </w:rPr>
        <w:t xml:space="preserve"> of the virus</w:t>
      </w:r>
      <w:r w:rsidRPr="00A36839">
        <w:rPr>
          <w:rFonts w:ascii="Times" w:hAnsi="Times"/>
          <w:sz w:val="24"/>
          <w:szCs w:val="24"/>
        </w:rPr>
        <w:t xml:space="preserve">. </w:t>
      </w:r>
      <w:r w:rsidR="004346AA" w:rsidRPr="00A36839">
        <w:rPr>
          <w:rFonts w:ascii="Times" w:hAnsi="Times"/>
          <w:sz w:val="24"/>
          <w:szCs w:val="24"/>
        </w:rPr>
        <w:t xml:space="preserve">Thus the parallel policy of prohibiting the entry to Australia of persons from overseas since </w:t>
      </w:r>
      <w:r w:rsidR="00DC673A" w:rsidRPr="00A36839">
        <w:rPr>
          <w:rFonts w:ascii="Times" w:hAnsi="Times"/>
          <w:sz w:val="24"/>
          <w:szCs w:val="24"/>
        </w:rPr>
        <w:t>March 20</w:t>
      </w:r>
      <w:r w:rsidR="004346AA" w:rsidRPr="00A36839">
        <w:rPr>
          <w:rFonts w:ascii="Times" w:hAnsi="Times"/>
          <w:sz w:val="24"/>
          <w:szCs w:val="24"/>
        </w:rPr>
        <w:t xml:space="preserve"> (unless they are Australian permanent residents or citizens).</w:t>
      </w:r>
    </w:p>
    <w:p w14:paraId="7BF8BE10" w14:textId="569758FD" w:rsidR="00415FE4" w:rsidRPr="00A36839" w:rsidRDefault="007C4DE6">
      <w:pPr>
        <w:rPr>
          <w:rFonts w:ascii="Times" w:hAnsi="Times"/>
          <w:sz w:val="24"/>
          <w:szCs w:val="24"/>
        </w:rPr>
      </w:pPr>
      <w:r w:rsidRPr="00A36839">
        <w:rPr>
          <w:rFonts w:ascii="Times" w:hAnsi="Times"/>
          <w:sz w:val="24"/>
          <w:szCs w:val="24"/>
        </w:rPr>
        <w:t>It seems</w:t>
      </w:r>
      <w:r w:rsidR="004346AA" w:rsidRPr="00A36839">
        <w:rPr>
          <w:rFonts w:ascii="Times" w:hAnsi="Times"/>
          <w:sz w:val="24"/>
          <w:szCs w:val="24"/>
        </w:rPr>
        <w:t xml:space="preserve"> that this strategy has been successful. The testing results indicate that </w:t>
      </w:r>
      <w:r w:rsidRPr="00A36839">
        <w:rPr>
          <w:rFonts w:ascii="Times" w:hAnsi="Times"/>
          <w:sz w:val="24"/>
          <w:szCs w:val="24"/>
        </w:rPr>
        <w:t>only a tiny percentage of the resident population is carrying the virus</w:t>
      </w:r>
      <w:r w:rsidR="00625833" w:rsidRPr="00A36839">
        <w:rPr>
          <w:rFonts w:ascii="Times" w:hAnsi="Times"/>
          <w:sz w:val="24"/>
          <w:szCs w:val="24"/>
        </w:rPr>
        <w:t xml:space="preserve">, with Australia’s infection rate </w:t>
      </w:r>
      <w:r w:rsidR="004346AA" w:rsidRPr="00A36839">
        <w:rPr>
          <w:rFonts w:ascii="Times" w:hAnsi="Times"/>
          <w:sz w:val="24"/>
          <w:szCs w:val="24"/>
        </w:rPr>
        <w:t xml:space="preserve">being </w:t>
      </w:r>
      <w:r w:rsidR="00625833" w:rsidRPr="00A36839">
        <w:rPr>
          <w:rFonts w:ascii="Times" w:hAnsi="Times"/>
          <w:sz w:val="24"/>
          <w:szCs w:val="24"/>
        </w:rPr>
        <w:t xml:space="preserve">just about the lowest in the developed world. The consequence is that only a small fraction of population is carrying </w:t>
      </w:r>
      <w:r w:rsidR="00555C09" w:rsidRPr="00A36839">
        <w:rPr>
          <w:rFonts w:ascii="Times" w:hAnsi="Times"/>
          <w:sz w:val="24"/>
          <w:szCs w:val="24"/>
        </w:rPr>
        <w:t>antibodies derived from infection</w:t>
      </w:r>
      <w:r w:rsidR="007665B9" w:rsidRPr="00A36839">
        <w:rPr>
          <w:rFonts w:ascii="Times" w:hAnsi="Times"/>
          <w:sz w:val="24"/>
          <w:szCs w:val="24"/>
        </w:rPr>
        <w:t>s, mild or otherwise</w:t>
      </w:r>
      <w:r w:rsidRPr="00A36839">
        <w:rPr>
          <w:rFonts w:ascii="Times" w:hAnsi="Times"/>
          <w:sz w:val="24"/>
          <w:szCs w:val="24"/>
        </w:rPr>
        <w:t>.</w:t>
      </w:r>
    </w:p>
    <w:p w14:paraId="01975BF7" w14:textId="08538A5F" w:rsidR="00555C09" w:rsidRPr="00A36839" w:rsidRDefault="007C4DE6">
      <w:pPr>
        <w:rPr>
          <w:rFonts w:ascii="Times" w:hAnsi="Times"/>
          <w:sz w:val="24"/>
          <w:szCs w:val="24"/>
        </w:rPr>
      </w:pPr>
      <w:r w:rsidRPr="00A36839">
        <w:rPr>
          <w:rFonts w:ascii="Times" w:hAnsi="Times"/>
          <w:sz w:val="24"/>
          <w:szCs w:val="24"/>
        </w:rPr>
        <w:t xml:space="preserve">The other side of this coin, however, is that if carriers of the virus </w:t>
      </w:r>
      <w:r w:rsidR="00555C09" w:rsidRPr="00A36839">
        <w:rPr>
          <w:rFonts w:ascii="Times" w:hAnsi="Times"/>
          <w:sz w:val="24"/>
          <w:szCs w:val="24"/>
        </w:rPr>
        <w:t xml:space="preserve">do </w:t>
      </w:r>
      <w:r w:rsidRPr="00A36839">
        <w:rPr>
          <w:rFonts w:ascii="Times" w:hAnsi="Times"/>
          <w:sz w:val="24"/>
          <w:szCs w:val="24"/>
        </w:rPr>
        <w:t>enter Australia</w:t>
      </w:r>
      <w:r w:rsidR="004346AA" w:rsidRPr="00A36839">
        <w:rPr>
          <w:rFonts w:ascii="Times" w:hAnsi="Times"/>
          <w:sz w:val="24"/>
          <w:szCs w:val="24"/>
        </w:rPr>
        <w:t xml:space="preserve"> (in the absence of the availability of an effective vaccine) </w:t>
      </w:r>
      <w:r w:rsidRPr="00A36839">
        <w:rPr>
          <w:rFonts w:ascii="Times" w:hAnsi="Times"/>
          <w:sz w:val="24"/>
          <w:szCs w:val="24"/>
        </w:rPr>
        <w:t xml:space="preserve">the population </w:t>
      </w:r>
      <w:r w:rsidR="00CC25A8" w:rsidRPr="00A36839">
        <w:rPr>
          <w:rFonts w:ascii="Times" w:hAnsi="Times"/>
          <w:sz w:val="24"/>
          <w:szCs w:val="24"/>
        </w:rPr>
        <w:t xml:space="preserve">will be </w:t>
      </w:r>
      <w:r w:rsidRPr="00A36839">
        <w:rPr>
          <w:rFonts w:ascii="Times" w:hAnsi="Times"/>
          <w:sz w:val="24"/>
          <w:szCs w:val="24"/>
        </w:rPr>
        <w:t xml:space="preserve">highly vulnerable to </w:t>
      </w:r>
      <w:r w:rsidR="00625833" w:rsidRPr="00A36839">
        <w:rPr>
          <w:rFonts w:ascii="Times" w:hAnsi="Times"/>
          <w:sz w:val="24"/>
          <w:szCs w:val="24"/>
        </w:rPr>
        <w:t>a renewed bout of i</w:t>
      </w:r>
      <w:r w:rsidR="00555C09" w:rsidRPr="00A36839">
        <w:rPr>
          <w:rFonts w:ascii="Times" w:hAnsi="Times"/>
          <w:sz w:val="24"/>
          <w:szCs w:val="24"/>
        </w:rPr>
        <w:t xml:space="preserve">nfection. This being the case, there </w:t>
      </w:r>
      <w:r w:rsidR="00625833" w:rsidRPr="00A36839">
        <w:rPr>
          <w:rFonts w:ascii="Times" w:hAnsi="Times"/>
          <w:sz w:val="24"/>
          <w:szCs w:val="24"/>
        </w:rPr>
        <w:t>would seem to be little</w:t>
      </w:r>
      <w:r w:rsidR="00F13FEE" w:rsidRPr="00A36839">
        <w:rPr>
          <w:rFonts w:ascii="Times" w:hAnsi="Times"/>
          <w:sz w:val="24"/>
          <w:szCs w:val="24"/>
        </w:rPr>
        <w:t xml:space="preserve"> immediate</w:t>
      </w:r>
      <w:r w:rsidR="00415FE4" w:rsidRPr="00A36839">
        <w:rPr>
          <w:rFonts w:ascii="Times" w:hAnsi="Times"/>
          <w:sz w:val="24"/>
          <w:szCs w:val="24"/>
        </w:rPr>
        <w:t xml:space="preserve"> </w:t>
      </w:r>
      <w:r w:rsidR="00625833" w:rsidRPr="00A36839">
        <w:rPr>
          <w:rFonts w:ascii="Times" w:hAnsi="Times"/>
          <w:sz w:val="24"/>
          <w:szCs w:val="24"/>
        </w:rPr>
        <w:t xml:space="preserve">prospect of the </w:t>
      </w:r>
      <w:r w:rsidR="00555C09" w:rsidRPr="00A36839">
        <w:rPr>
          <w:rFonts w:ascii="Times" w:hAnsi="Times"/>
          <w:sz w:val="24"/>
          <w:szCs w:val="24"/>
        </w:rPr>
        <w:t>Australian government allow</w:t>
      </w:r>
      <w:r w:rsidR="00625833" w:rsidRPr="00A36839">
        <w:rPr>
          <w:rFonts w:ascii="Times" w:hAnsi="Times"/>
          <w:sz w:val="24"/>
          <w:szCs w:val="24"/>
        </w:rPr>
        <w:t xml:space="preserve">ing a renewed </w:t>
      </w:r>
      <w:r w:rsidR="00555C09" w:rsidRPr="00A36839">
        <w:rPr>
          <w:rFonts w:ascii="Times" w:hAnsi="Times"/>
          <w:sz w:val="24"/>
          <w:szCs w:val="24"/>
        </w:rPr>
        <w:t>influx of temporary migrants</w:t>
      </w:r>
      <w:r w:rsidR="004346AA" w:rsidRPr="00A36839">
        <w:rPr>
          <w:rFonts w:ascii="Times" w:hAnsi="Times"/>
          <w:sz w:val="24"/>
          <w:szCs w:val="24"/>
        </w:rPr>
        <w:t>.</w:t>
      </w:r>
    </w:p>
    <w:p w14:paraId="245BF20F" w14:textId="77777777" w:rsidR="00A36839" w:rsidRPr="00A36839" w:rsidRDefault="00DC673A">
      <w:pPr>
        <w:rPr>
          <w:rFonts w:ascii="Times" w:hAnsi="Times"/>
          <w:sz w:val="24"/>
          <w:szCs w:val="24"/>
        </w:rPr>
      </w:pPr>
      <w:r w:rsidRPr="00A36839">
        <w:rPr>
          <w:rFonts w:ascii="Times" w:hAnsi="Times"/>
          <w:sz w:val="24"/>
          <w:szCs w:val="24"/>
        </w:rPr>
        <w:t>I</w:t>
      </w:r>
      <w:r w:rsidR="006E637C" w:rsidRPr="00A36839">
        <w:rPr>
          <w:rFonts w:ascii="Times" w:hAnsi="Times"/>
          <w:sz w:val="24"/>
          <w:szCs w:val="24"/>
        </w:rPr>
        <w:t xml:space="preserve">t is hard to imagine that any government could propose opening up Australia’s borders to allow </w:t>
      </w:r>
      <w:r w:rsidR="003103CA" w:rsidRPr="00A36839">
        <w:rPr>
          <w:rFonts w:ascii="Times" w:hAnsi="Times"/>
          <w:sz w:val="24"/>
          <w:szCs w:val="24"/>
        </w:rPr>
        <w:t xml:space="preserve">160,000 or so </w:t>
      </w:r>
      <w:r w:rsidR="006E637C" w:rsidRPr="00A36839">
        <w:rPr>
          <w:rFonts w:ascii="Times" w:hAnsi="Times"/>
          <w:sz w:val="24"/>
          <w:szCs w:val="24"/>
        </w:rPr>
        <w:t>WHM</w:t>
      </w:r>
      <w:r w:rsidR="003103CA" w:rsidRPr="00A36839">
        <w:rPr>
          <w:rFonts w:ascii="Times" w:hAnsi="Times"/>
          <w:sz w:val="24"/>
          <w:szCs w:val="24"/>
        </w:rPr>
        <w:t xml:space="preserve"> visas to be granted offshore</w:t>
      </w:r>
      <w:r w:rsidR="006E637C" w:rsidRPr="00A36839">
        <w:rPr>
          <w:rFonts w:ascii="Times" w:hAnsi="Times"/>
          <w:sz w:val="24"/>
          <w:szCs w:val="24"/>
        </w:rPr>
        <w:t xml:space="preserve"> in order to assist the horticultural industry</w:t>
      </w:r>
      <w:r w:rsidR="00CC25A8" w:rsidRPr="00A36839">
        <w:rPr>
          <w:rFonts w:ascii="Times" w:hAnsi="Times"/>
          <w:sz w:val="24"/>
          <w:szCs w:val="24"/>
        </w:rPr>
        <w:t>.</w:t>
      </w:r>
    </w:p>
    <w:p w14:paraId="54E38723" w14:textId="51A43A43" w:rsidR="00415FE4" w:rsidRPr="00A36839" w:rsidRDefault="00CC25A8">
      <w:pPr>
        <w:rPr>
          <w:rFonts w:ascii="Times" w:hAnsi="Times"/>
          <w:sz w:val="24"/>
          <w:szCs w:val="24"/>
        </w:rPr>
      </w:pPr>
      <w:r w:rsidRPr="00A36839">
        <w:rPr>
          <w:rFonts w:ascii="Times" w:hAnsi="Times"/>
          <w:sz w:val="24"/>
          <w:szCs w:val="24"/>
        </w:rPr>
        <w:t xml:space="preserve">It is also unlikely that </w:t>
      </w:r>
      <w:r w:rsidR="00DC673A" w:rsidRPr="00A36839">
        <w:rPr>
          <w:rFonts w:ascii="Times" w:hAnsi="Times"/>
          <w:sz w:val="24"/>
          <w:szCs w:val="24"/>
        </w:rPr>
        <w:t>the Australian government</w:t>
      </w:r>
      <w:r w:rsidRPr="00A36839">
        <w:rPr>
          <w:rFonts w:ascii="Times" w:hAnsi="Times"/>
          <w:sz w:val="24"/>
          <w:szCs w:val="24"/>
        </w:rPr>
        <w:t xml:space="preserve"> will</w:t>
      </w:r>
      <w:r w:rsidR="003103CA" w:rsidRPr="00A36839">
        <w:rPr>
          <w:rFonts w:ascii="Times" w:hAnsi="Times"/>
          <w:sz w:val="24"/>
          <w:szCs w:val="24"/>
        </w:rPr>
        <w:t xml:space="preserve"> allow </w:t>
      </w:r>
      <w:r w:rsidR="006E637C" w:rsidRPr="00A36839">
        <w:rPr>
          <w:rFonts w:ascii="Times" w:hAnsi="Times"/>
          <w:sz w:val="24"/>
          <w:szCs w:val="24"/>
        </w:rPr>
        <w:t xml:space="preserve">several hundred thousand </w:t>
      </w:r>
      <w:r w:rsidR="003103CA" w:rsidRPr="00A36839">
        <w:rPr>
          <w:rFonts w:ascii="Times" w:hAnsi="Times"/>
          <w:sz w:val="24"/>
          <w:szCs w:val="24"/>
        </w:rPr>
        <w:t xml:space="preserve">offshore </w:t>
      </w:r>
      <w:r w:rsidR="006E637C" w:rsidRPr="00A36839">
        <w:rPr>
          <w:rFonts w:ascii="Times" w:hAnsi="Times"/>
          <w:sz w:val="24"/>
          <w:szCs w:val="24"/>
        </w:rPr>
        <w:t xml:space="preserve">overseas students </w:t>
      </w:r>
      <w:r w:rsidR="003103CA" w:rsidRPr="00A36839">
        <w:rPr>
          <w:rFonts w:ascii="Times" w:hAnsi="Times"/>
          <w:sz w:val="24"/>
          <w:szCs w:val="24"/>
        </w:rPr>
        <w:t xml:space="preserve">to enter Australia in order to revive the </w:t>
      </w:r>
      <w:r w:rsidR="006E637C" w:rsidRPr="00A36839">
        <w:rPr>
          <w:rFonts w:ascii="Times" w:hAnsi="Times"/>
          <w:sz w:val="24"/>
          <w:szCs w:val="24"/>
        </w:rPr>
        <w:t>overseas student industry</w:t>
      </w:r>
      <w:r w:rsidR="00E57697" w:rsidRPr="00A36839">
        <w:rPr>
          <w:rFonts w:ascii="Times" w:hAnsi="Times"/>
          <w:sz w:val="24"/>
          <w:szCs w:val="24"/>
        </w:rPr>
        <w:t xml:space="preserve"> or thousands of visitors in order to revive the tourist industry</w:t>
      </w:r>
      <w:r w:rsidR="006E637C" w:rsidRPr="00A36839">
        <w:rPr>
          <w:rFonts w:ascii="Times" w:hAnsi="Times"/>
          <w:sz w:val="24"/>
          <w:szCs w:val="24"/>
        </w:rPr>
        <w:t>.</w:t>
      </w:r>
    </w:p>
    <w:p w14:paraId="27FA0D02" w14:textId="77777777" w:rsidR="00A36839" w:rsidRPr="00A36839" w:rsidRDefault="00E57697">
      <w:pPr>
        <w:rPr>
          <w:rFonts w:ascii="Times" w:hAnsi="Times"/>
          <w:sz w:val="24"/>
          <w:szCs w:val="24"/>
        </w:rPr>
      </w:pPr>
      <w:r w:rsidRPr="00A36839">
        <w:rPr>
          <w:rFonts w:ascii="Times" w:hAnsi="Times"/>
          <w:sz w:val="24"/>
          <w:szCs w:val="24"/>
        </w:rPr>
        <w:t xml:space="preserve">It seems that at least for a couple of years (unless a vaccine becomes available) that horticultural </w:t>
      </w:r>
      <w:r w:rsidR="004D7981" w:rsidRPr="00A36839">
        <w:rPr>
          <w:rFonts w:ascii="Times" w:hAnsi="Times"/>
          <w:sz w:val="24"/>
          <w:szCs w:val="24"/>
        </w:rPr>
        <w:t>employers will not be able to rely on a temporary migrant workforce</w:t>
      </w:r>
      <w:r w:rsidRPr="00A36839">
        <w:rPr>
          <w:rFonts w:ascii="Times" w:hAnsi="Times"/>
          <w:sz w:val="24"/>
          <w:szCs w:val="24"/>
        </w:rPr>
        <w:t>.</w:t>
      </w:r>
    </w:p>
    <w:p w14:paraId="4BFA383E" w14:textId="7661FB7E" w:rsidR="00555C09" w:rsidRPr="00A36839" w:rsidRDefault="00555C09" w:rsidP="00A36839">
      <w:pPr>
        <w:pStyle w:val="Heading2"/>
      </w:pPr>
      <w:bookmarkStart w:id="22" w:name="_Toc46319550"/>
      <w:bookmarkStart w:id="23" w:name="_Toc46319736"/>
      <w:r w:rsidRPr="00A36839">
        <w:lastRenderedPageBreak/>
        <w:t>The horticultural industry will have to adjust</w:t>
      </w:r>
      <w:bookmarkEnd w:id="22"/>
      <w:bookmarkEnd w:id="23"/>
    </w:p>
    <w:p w14:paraId="0D153C1B" w14:textId="73FE1457" w:rsidR="00415FE4" w:rsidRPr="00A36839" w:rsidRDefault="00A63AAE">
      <w:pPr>
        <w:rPr>
          <w:rFonts w:ascii="Times" w:hAnsi="Times"/>
          <w:sz w:val="24"/>
          <w:szCs w:val="24"/>
        </w:rPr>
      </w:pPr>
      <w:r w:rsidRPr="00A36839">
        <w:rPr>
          <w:rFonts w:ascii="Times" w:hAnsi="Times"/>
          <w:sz w:val="24"/>
          <w:szCs w:val="24"/>
        </w:rPr>
        <w:t>True, the Australian government has announced (April 4, 2020) that WHMs working in ‘critical’ sectors including agriculture ‘will be exempt from the six mo</w:t>
      </w:r>
      <w:r w:rsidR="007901D9" w:rsidRPr="00A36839">
        <w:rPr>
          <w:rFonts w:ascii="Times" w:hAnsi="Times"/>
          <w:sz w:val="24"/>
          <w:szCs w:val="24"/>
        </w:rPr>
        <w:t>n</w:t>
      </w:r>
      <w:r w:rsidRPr="00A36839">
        <w:rPr>
          <w:rFonts w:ascii="Times" w:hAnsi="Times"/>
          <w:sz w:val="24"/>
          <w:szCs w:val="24"/>
        </w:rPr>
        <w:t>th work limitation with the one employer and eligible for a further visa to keep working … if their current visa is due to expire in the next six months’.</w:t>
      </w:r>
      <w:r w:rsidRPr="00A36839">
        <w:rPr>
          <w:rStyle w:val="EndnoteReference"/>
          <w:rFonts w:ascii="Times" w:hAnsi="Times"/>
          <w:sz w:val="24"/>
          <w:szCs w:val="24"/>
        </w:rPr>
        <w:endnoteReference w:id="25"/>
      </w:r>
    </w:p>
    <w:p w14:paraId="6DF3B6F0" w14:textId="4D03527E" w:rsidR="00415FE4" w:rsidRPr="00A36839" w:rsidRDefault="00A63AAE">
      <w:pPr>
        <w:rPr>
          <w:rFonts w:ascii="Times" w:hAnsi="Times"/>
          <w:sz w:val="24"/>
          <w:szCs w:val="24"/>
        </w:rPr>
      </w:pPr>
      <w:r w:rsidRPr="00A36839">
        <w:rPr>
          <w:rFonts w:ascii="Times" w:hAnsi="Times"/>
          <w:sz w:val="24"/>
          <w:szCs w:val="24"/>
        </w:rPr>
        <w:t xml:space="preserve">This announcement will give the horticultural industry a period of grace during which </w:t>
      </w:r>
      <w:r w:rsidR="00E57697" w:rsidRPr="00A36839">
        <w:rPr>
          <w:rFonts w:ascii="Times" w:hAnsi="Times"/>
          <w:sz w:val="24"/>
          <w:szCs w:val="24"/>
        </w:rPr>
        <w:t xml:space="preserve">an </w:t>
      </w:r>
      <w:r w:rsidRPr="00A36839">
        <w:rPr>
          <w:rFonts w:ascii="Times" w:hAnsi="Times"/>
          <w:sz w:val="24"/>
          <w:szCs w:val="24"/>
        </w:rPr>
        <w:t>adjustment to</w:t>
      </w:r>
      <w:r w:rsidR="003503E9" w:rsidRPr="00A36839">
        <w:rPr>
          <w:rFonts w:ascii="Times" w:hAnsi="Times"/>
          <w:sz w:val="24"/>
          <w:szCs w:val="24"/>
        </w:rPr>
        <w:t xml:space="preserve">wards </w:t>
      </w:r>
      <w:r w:rsidR="00DF66C3" w:rsidRPr="00A36839">
        <w:rPr>
          <w:rFonts w:ascii="Times" w:hAnsi="Times"/>
          <w:sz w:val="24"/>
          <w:szCs w:val="24"/>
        </w:rPr>
        <w:t xml:space="preserve">reliance on </w:t>
      </w:r>
      <w:r w:rsidR="003503E9" w:rsidRPr="00A36839">
        <w:rPr>
          <w:rFonts w:ascii="Times" w:hAnsi="Times"/>
          <w:sz w:val="24"/>
          <w:szCs w:val="24"/>
        </w:rPr>
        <w:t xml:space="preserve">the </w:t>
      </w:r>
      <w:r w:rsidR="00DF66C3" w:rsidRPr="00A36839">
        <w:rPr>
          <w:rFonts w:ascii="Times" w:hAnsi="Times"/>
          <w:sz w:val="24"/>
          <w:szCs w:val="24"/>
        </w:rPr>
        <w:t xml:space="preserve">resident workforce </w:t>
      </w:r>
      <w:r w:rsidR="004D7981" w:rsidRPr="00A36839">
        <w:rPr>
          <w:rFonts w:ascii="Times" w:hAnsi="Times"/>
          <w:sz w:val="24"/>
          <w:szCs w:val="24"/>
        </w:rPr>
        <w:t>should begin</w:t>
      </w:r>
      <w:r w:rsidR="00DF66C3" w:rsidRPr="00A36839">
        <w:rPr>
          <w:rFonts w:ascii="Times" w:hAnsi="Times"/>
          <w:sz w:val="24"/>
          <w:szCs w:val="24"/>
        </w:rPr>
        <w:t>.</w:t>
      </w:r>
    </w:p>
    <w:p w14:paraId="0FAC46B4" w14:textId="77777777" w:rsidR="00A36839" w:rsidRPr="00A36839" w:rsidRDefault="007F0039">
      <w:pPr>
        <w:rPr>
          <w:rFonts w:ascii="Times" w:hAnsi="Times"/>
          <w:sz w:val="24"/>
          <w:szCs w:val="24"/>
        </w:rPr>
      </w:pPr>
      <w:r w:rsidRPr="00A36839">
        <w:rPr>
          <w:rFonts w:ascii="Times" w:hAnsi="Times"/>
          <w:sz w:val="24"/>
          <w:szCs w:val="24"/>
        </w:rPr>
        <w:t>Australia is not alone in confronting what to do with an agricultural industry dependent on compliant migrant labour</w:t>
      </w:r>
      <w:r w:rsidR="003103CA" w:rsidRPr="00A36839">
        <w:rPr>
          <w:rFonts w:ascii="Times" w:hAnsi="Times"/>
          <w:sz w:val="24"/>
          <w:szCs w:val="24"/>
        </w:rPr>
        <w:t>.</w:t>
      </w:r>
    </w:p>
    <w:p w14:paraId="3B933928" w14:textId="3ED1BF7F" w:rsidR="00415FE4" w:rsidRPr="00A36839" w:rsidRDefault="007F0039">
      <w:pPr>
        <w:rPr>
          <w:rFonts w:ascii="Times" w:hAnsi="Times"/>
          <w:sz w:val="24"/>
          <w:szCs w:val="24"/>
        </w:rPr>
      </w:pPr>
      <w:r w:rsidRPr="00A36839">
        <w:rPr>
          <w:rFonts w:ascii="Times" w:hAnsi="Times"/>
          <w:sz w:val="24"/>
          <w:szCs w:val="24"/>
        </w:rPr>
        <w:t>The common answer is mechanisation. That is, investment in equipment that will eradicate the most onerous and physically taxing work.</w:t>
      </w:r>
    </w:p>
    <w:p w14:paraId="13DCCAA7" w14:textId="77777777" w:rsidR="00A36839" w:rsidRPr="00A36839" w:rsidRDefault="007F0039" w:rsidP="00C35DDF">
      <w:pPr>
        <w:rPr>
          <w:rFonts w:ascii="Times" w:hAnsi="Times"/>
          <w:sz w:val="24"/>
          <w:szCs w:val="24"/>
        </w:rPr>
      </w:pPr>
      <w:r w:rsidRPr="00A36839">
        <w:rPr>
          <w:rFonts w:ascii="Times" w:hAnsi="Times"/>
          <w:sz w:val="24"/>
          <w:szCs w:val="24"/>
        </w:rPr>
        <w:t xml:space="preserve">This is also the view of Joanna Howe and her colleagues. They conclude that </w:t>
      </w:r>
      <w:r w:rsidR="0027294C" w:rsidRPr="00A36839">
        <w:rPr>
          <w:rFonts w:ascii="Times" w:hAnsi="Times"/>
          <w:sz w:val="24"/>
          <w:szCs w:val="24"/>
        </w:rPr>
        <w:t xml:space="preserve">‘technical solutions </w:t>
      </w:r>
      <w:r w:rsidRPr="00A36839">
        <w:rPr>
          <w:rFonts w:ascii="Times" w:hAnsi="Times"/>
          <w:sz w:val="24"/>
          <w:szCs w:val="24"/>
        </w:rPr>
        <w:t xml:space="preserve">are </w:t>
      </w:r>
      <w:r w:rsidR="0027294C" w:rsidRPr="00A36839">
        <w:rPr>
          <w:rFonts w:ascii="Times" w:hAnsi="Times"/>
          <w:sz w:val="24"/>
          <w:szCs w:val="24"/>
        </w:rPr>
        <w:t>optimal’</w:t>
      </w:r>
      <w:r w:rsidR="003103CA" w:rsidRPr="00A36839">
        <w:rPr>
          <w:rFonts w:ascii="Times" w:hAnsi="Times"/>
          <w:sz w:val="24"/>
          <w:szCs w:val="24"/>
        </w:rPr>
        <w:t>.</w:t>
      </w:r>
      <w:r w:rsidRPr="00A36839">
        <w:rPr>
          <w:rStyle w:val="EndnoteReference"/>
          <w:rFonts w:ascii="Times" w:hAnsi="Times"/>
          <w:sz w:val="24"/>
          <w:szCs w:val="24"/>
        </w:rPr>
        <w:endnoteReference w:id="26"/>
      </w:r>
      <w:r w:rsidR="0027294C" w:rsidRPr="00A36839">
        <w:rPr>
          <w:rFonts w:ascii="Times" w:hAnsi="Times"/>
          <w:sz w:val="24"/>
          <w:szCs w:val="24"/>
        </w:rPr>
        <w:t xml:space="preserve"> </w:t>
      </w:r>
      <w:r w:rsidRPr="00A36839">
        <w:rPr>
          <w:rFonts w:ascii="Times" w:hAnsi="Times"/>
          <w:sz w:val="24"/>
          <w:szCs w:val="24"/>
        </w:rPr>
        <w:t>They acknowledge that ‘</w:t>
      </w:r>
      <w:r w:rsidR="00C35DDF" w:rsidRPr="00A36839">
        <w:rPr>
          <w:rFonts w:ascii="Times" w:hAnsi="Times"/>
          <w:sz w:val="24"/>
          <w:szCs w:val="24"/>
        </w:rPr>
        <w:t xml:space="preserve">Mechanisation of harvesting involves significant research and development, capital investment and risks for early adopter </w:t>
      </w:r>
      <w:r w:rsidR="003503E9" w:rsidRPr="00A36839">
        <w:rPr>
          <w:rFonts w:ascii="Times" w:hAnsi="Times"/>
          <w:sz w:val="24"/>
          <w:szCs w:val="24"/>
        </w:rPr>
        <w:t xml:space="preserve">of </w:t>
      </w:r>
      <w:r w:rsidR="00C35DDF" w:rsidRPr="00A36839">
        <w:rPr>
          <w:rFonts w:ascii="Times" w:hAnsi="Times"/>
          <w:sz w:val="24"/>
          <w:szCs w:val="24"/>
        </w:rPr>
        <w:t>new technology that individual farmers</w:t>
      </w:r>
      <w:r w:rsidR="00950B1D" w:rsidRPr="00A36839">
        <w:rPr>
          <w:rFonts w:ascii="Times" w:hAnsi="Times"/>
          <w:sz w:val="24"/>
          <w:szCs w:val="24"/>
        </w:rPr>
        <w:t xml:space="preserve"> </w:t>
      </w:r>
      <w:r w:rsidR="00C35DDF" w:rsidRPr="00A36839">
        <w:rPr>
          <w:rFonts w:ascii="Times" w:hAnsi="Times"/>
          <w:sz w:val="24"/>
          <w:szCs w:val="24"/>
        </w:rPr>
        <w:t>general</w:t>
      </w:r>
      <w:r w:rsidR="00D04240" w:rsidRPr="00A36839">
        <w:rPr>
          <w:rFonts w:ascii="Times" w:hAnsi="Times"/>
          <w:sz w:val="24"/>
          <w:szCs w:val="24"/>
        </w:rPr>
        <w:t>ly</w:t>
      </w:r>
      <w:r w:rsidR="00C35DDF" w:rsidRPr="00A36839">
        <w:rPr>
          <w:rFonts w:ascii="Times" w:hAnsi="Times"/>
          <w:sz w:val="24"/>
          <w:szCs w:val="24"/>
        </w:rPr>
        <w:t xml:space="preserve"> cannot sustain alone.’</w:t>
      </w:r>
      <w:r w:rsidR="00C35DDF" w:rsidRPr="00A36839">
        <w:rPr>
          <w:rStyle w:val="EndnoteReference"/>
          <w:rFonts w:ascii="Times" w:hAnsi="Times"/>
          <w:sz w:val="24"/>
          <w:szCs w:val="24"/>
        </w:rPr>
        <w:endnoteReference w:id="27"/>
      </w:r>
    </w:p>
    <w:p w14:paraId="606C8E49" w14:textId="77777777" w:rsidR="00A36839" w:rsidRPr="00A36839" w:rsidRDefault="004D7981" w:rsidP="00C35DDF">
      <w:pPr>
        <w:rPr>
          <w:rFonts w:ascii="Times" w:hAnsi="Times"/>
          <w:sz w:val="24"/>
          <w:szCs w:val="24"/>
        </w:rPr>
      </w:pPr>
      <w:r w:rsidRPr="00A36839">
        <w:rPr>
          <w:rFonts w:ascii="Times" w:hAnsi="Times"/>
          <w:sz w:val="24"/>
          <w:szCs w:val="24"/>
        </w:rPr>
        <w:t xml:space="preserve">The horticultural industry has made progress in this direction, but there is a long way to go. </w:t>
      </w:r>
      <w:r w:rsidR="007F0039" w:rsidRPr="00A36839">
        <w:rPr>
          <w:rFonts w:ascii="Times" w:hAnsi="Times"/>
          <w:sz w:val="24"/>
          <w:szCs w:val="24"/>
        </w:rPr>
        <w:t xml:space="preserve">This transformation </w:t>
      </w:r>
      <w:r w:rsidRPr="00A36839">
        <w:rPr>
          <w:rFonts w:ascii="Times" w:hAnsi="Times"/>
          <w:sz w:val="24"/>
          <w:szCs w:val="24"/>
        </w:rPr>
        <w:t xml:space="preserve">may well require </w:t>
      </w:r>
      <w:r w:rsidR="00C35DDF" w:rsidRPr="00A36839">
        <w:rPr>
          <w:rFonts w:ascii="Times" w:hAnsi="Times"/>
          <w:sz w:val="24"/>
          <w:szCs w:val="24"/>
        </w:rPr>
        <w:t xml:space="preserve">government </w:t>
      </w:r>
      <w:r w:rsidRPr="00A36839">
        <w:rPr>
          <w:rFonts w:ascii="Times" w:hAnsi="Times"/>
          <w:sz w:val="24"/>
          <w:szCs w:val="24"/>
        </w:rPr>
        <w:t xml:space="preserve">support. </w:t>
      </w:r>
      <w:r w:rsidR="00271485" w:rsidRPr="00A36839">
        <w:rPr>
          <w:rFonts w:ascii="Times" w:hAnsi="Times"/>
          <w:sz w:val="24"/>
          <w:szCs w:val="24"/>
        </w:rPr>
        <w:t>This is because the process is likely to be expensive, because of the new investment needed</w:t>
      </w:r>
      <w:r w:rsidRPr="00A36839">
        <w:rPr>
          <w:rFonts w:ascii="Times" w:hAnsi="Times"/>
          <w:sz w:val="24"/>
          <w:szCs w:val="24"/>
        </w:rPr>
        <w:t xml:space="preserve">. The industry will also confront higher costs as it </w:t>
      </w:r>
      <w:r w:rsidR="00271485" w:rsidRPr="00A36839">
        <w:rPr>
          <w:rFonts w:ascii="Times" w:hAnsi="Times"/>
          <w:sz w:val="24"/>
          <w:szCs w:val="24"/>
        </w:rPr>
        <w:t>switches to resident workers.</w:t>
      </w:r>
    </w:p>
    <w:p w14:paraId="3B361716" w14:textId="18571926" w:rsidR="00415FE4" w:rsidRPr="00A36839" w:rsidRDefault="006A6751" w:rsidP="00C35DDF">
      <w:pPr>
        <w:rPr>
          <w:rFonts w:ascii="Times" w:hAnsi="Times"/>
          <w:sz w:val="24"/>
          <w:szCs w:val="24"/>
        </w:rPr>
      </w:pPr>
      <w:r w:rsidRPr="00A36839">
        <w:rPr>
          <w:rFonts w:ascii="Times" w:hAnsi="Times"/>
          <w:sz w:val="24"/>
          <w:szCs w:val="24"/>
        </w:rPr>
        <w:t xml:space="preserve">Higher costs may mean more imports – </w:t>
      </w:r>
      <w:r w:rsidR="003503E9" w:rsidRPr="00A36839">
        <w:rPr>
          <w:rFonts w:ascii="Times" w:hAnsi="Times"/>
          <w:sz w:val="24"/>
          <w:szCs w:val="24"/>
        </w:rPr>
        <w:t xml:space="preserve">more </w:t>
      </w:r>
      <w:r w:rsidRPr="00A36839">
        <w:rPr>
          <w:rFonts w:ascii="Times" w:hAnsi="Times"/>
          <w:sz w:val="24"/>
          <w:szCs w:val="24"/>
        </w:rPr>
        <w:t xml:space="preserve">apples and Kiwi fruit from New Zealand, </w:t>
      </w:r>
      <w:r w:rsidR="003503E9" w:rsidRPr="00A36839">
        <w:rPr>
          <w:rFonts w:ascii="Times" w:hAnsi="Times"/>
          <w:sz w:val="24"/>
          <w:szCs w:val="24"/>
        </w:rPr>
        <w:t xml:space="preserve">more </w:t>
      </w:r>
      <w:r w:rsidRPr="00A36839">
        <w:rPr>
          <w:rFonts w:ascii="Times" w:hAnsi="Times"/>
          <w:sz w:val="24"/>
          <w:szCs w:val="24"/>
        </w:rPr>
        <w:t>nav</w:t>
      </w:r>
      <w:r w:rsidR="003503E9" w:rsidRPr="00A36839">
        <w:rPr>
          <w:rFonts w:ascii="Times" w:hAnsi="Times"/>
          <w:sz w:val="24"/>
          <w:szCs w:val="24"/>
        </w:rPr>
        <w:t>e</w:t>
      </w:r>
      <w:r w:rsidRPr="00A36839">
        <w:rPr>
          <w:rFonts w:ascii="Times" w:hAnsi="Times"/>
          <w:sz w:val="24"/>
          <w:szCs w:val="24"/>
        </w:rPr>
        <w:t>l oranges from California</w:t>
      </w:r>
      <w:r w:rsidR="00530251" w:rsidRPr="00A36839">
        <w:rPr>
          <w:rFonts w:ascii="Times" w:hAnsi="Times"/>
          <w:sz w:val="24"/>
          <w:szCs w:val="24"/>
        </w:rPr>
        <w:t>,</w:t>
      </w:r>
      <w:r w:rsidR="003503E9" w:rsidRPr="00A36839">
        <w:rPr>
          <w:rFonts w:ascii="Times" w:hAnsi="Times"/>
          <w:sz w:val="24"/>
          <w:szCs w:val="24"/>
        </w:rPr>
        <w:t xml:space="preserve"> </w:t>
      </w:r>
      <w:r w:rsidR="00800BC5" w:rsidRPr="00A36839">
        <w:rPr>
          <w:rFonts w:ascii="Times" w:hAnsi="Times"/>
          <w:sz w:val="24"/>
          <w:szCs w:val="24"/>
        </w:rPr>
        <w:t>more garlic from China</w:t>
      </w:r>
      <w:r w:rsidR="00530251" w:rsidRPr="00A36839">
        <w:rPr>
          <w:rFonts w:ascii="Times" w:hAnsi="Times"/>
          <w:sz w:val="24"/>
          <w:szCs w:val="24"/>
        </w:rPr>
        <w:t xml:space="preserve"> and so on</w:t>
      </w:r>
      <w:r w:rsidR="00800BC5" w:rsidRPr="00A36839">
        <w:rPr>
          <w:rFonts w:ascii="Times" w:hAnsi="Times"/>
          <w:sz w:val="24"/>
          <w:szCs w:val="24"/>
        </w:rPr>
        <w:t>. This should not be a big issue in Australia, since</w:t>
      </w:r>
      <w:r w:rsidR="004A554B" w:rsidRPr="00A36839">
        <w:rPr>
          <w:rFonts w:ascii="Times" w:hAnsi="Times"/>
          <w:sz w:val="24"/>
          <w:szCs w:val="24"/>
        </w:rPr>
        <w:t>,</w:t>
      </w:r>
      <w:r w:rsidR="00800BC5" w:rsidRPr="00A36839">
        <w:rPr>
          <w:rFonts w:ascii="Times" w:hAnsi="Times"/>
          <w:sz w:val="24"/>
          <w:szCs w:val="24"/>
        </w:rPr>
        <w:t xml:space="preserve"> as noted, it has long been </w:t>
      </w:r>
      <w:r w:rsidR="00530251" w:rsidRPr="00A36839">
        <w:rPr>
          <w:rFonts w:ascii="Times" w:hAnsi="Times"/>
          <w:sz w:val="24"/>
          <w:szCs w:val="24"/>
        </w:rPr>
        <w:t xml:space="preserve">the </w:t>
      </w:r>
      <w:r w:rsidR="00800BC5" w:rsidRPr="00A36839">
        <w:rPr>
          <w:rFonts w:ascii="Times" w:hAnsi="Times"/>
          <w:sz w:val="24"/>
          <w:szCs w:val="24"/>
        </w:rPr>
        <w:t>Australian government</w:t>
      </w:r>
      <w:r w:rsidR="00530251" w:rsidRPr="00A36839">
        <w:rPr>
          <w:rFonts w:ascii="Times" w:hAnsi="Times"/>
          <w:sz w:val="24"/>
          <w:szCs w:val="24"/>
        </w:rPr>
        <w:t>’s</w:t>
      </w:r>
      <w:r w:rsidR="00800BC5" w:rsidRPr="00A36839">
        <w:rPr>
          <w:rFonts w:ascii="Times" w:hAnsi="Times"/>
          <w:sz w:val="24"/>
          <w:szCs w:val="24"/>
        </w:rPr>
        <w:t xml:space="preserve"> economic policy to </w:t>
      </w:r>
      <w:r w:rsidR="003503E9" w:rsidRPr="00A36839">
        <w:rPr>
          <w:rFonts w:ascii="Times" w:hAnsi="Times"/>
          <w:sz w:val="24"/>
          <w:szCs w:val="24"/>
        </w:rPr>
        <w:t xml:space="preserve">force an </w:t>
      </w:r>
      <w:r w:rsidR="00800BC5" w:rsidRPr="00A36839">
        <w:rPr>
          <w:rFonts w:ascii="Times" w:hAnsi="Times"/>
          <w:sz w:val="24"/>
          <w:szCs w:val="24"/>
        </w:rPr>
        <w:t>adjust</w:t>
      </w:r>
      <w:r w:rsidR="003503E9" w:rsidRPr="00A36839">
        <w:rPr>
          <w:rFonts w:ascii="Times" w:hAnsi="Times"/>
          <w:sz w:val="24"/>
          <w:szCs w:val="24"/>
        </w:rPr>
        <w:t xml:space="preserve">ment </w:t>
      </w:r>
      <w:r w:rsidR="00E57697" w:rsidRPr="00A36839">
        <w:rPr>
          <w:rFonts w:ascii="Times" w:hAnsi="Times"/>
          <w:sz w:val="24"/>
          <w:szCs w:val="24"/>
        </w:rPr>
        <w:t xml:space="preserve">such that only Australian industries that are </w:t>
      </w:r>
      <w:r w:rsidR="003503E9" w:rsidRPr="00A36839">
        <w:rPr>
          <w:rFonts w:ascii="Times" w:hAnsi="Times"/>
          <w:sz w:val="24"/>
          <w:szCs w:val="24"/>
        </w:rPr>
        <w:t>competitive in world markets survive.</w:t>
      </w:r>
    </w:p>
    <w:p w14:paraId="7CB9D6E3" w14:textId="296EC8AE" w:rsidR="00415FE4" w:rsidRPr="00A36839" w:rsidRDefault="00800BC5" w:rsidP="00C35DDF">
      <w:pPr>
        <w:rPr>
          <w:rFonts w:ascii="Times" w:hAnsi="Times"/>
          <w:sz w:val="24"/>
          <w:szCs w:val="24"/>
        </w:rPr>
      </w:pPr>
      <w:r w:rsidRPr="00A36839">
        <w:rPr>
          <w:rFonts w:ascii="Times" w:hAnsi="Times"/>
          <w:sz w:val="24"/>
          <w:szCs w:val="24"/>
        </w:rPr>
        <w:t xml:space="preserve">On the other hand, there are legitimate concerns about </w:t>
      </w:r>
      <w:r w:rsidR="004A554B" w:rsidRPr="00A36839">
        <w:rPr>
          <w:rFonts w:ascii="Times" w:hAnsi="Times"/>
          <w:sz w:val="24"/>
          <w:szCs w:val="24"/>
        </w:rPr>
        <w:t xml:space="preserve">the </w:t>
      </w:r>
      <w:r w:rsidRPr="00A36839">
        <w:rPr>
          <w:rFonts w:ascii="Times" w:hAnsi="Times"/>
          <w:sz w:val="24"/>
          <w:szCs w:val="24"/>
        </w:rPr>
        <w:t xml:space="preserve">bio-security of food supplies. It is not that there is any danger of Australia being unable to feed itself. But there are issues about quality and freshness </w:t>
      </w:r>
      <w:r w:rsidR="00271485" w:rsidRPr="00A36839">
        <w:rPr>
          <w:rFonts w:ascii="Times" w:hAnsi="Times"/>
          <w:sz w:val="24"/>
          <w:szCs w:val="24"/>
        </w:rPr>
        <w:t>and crop diseases and pests,</w:t>
      </w:r>
      <w:r w:rsidR="004A554B" w:rsidRPr="00A36839">
        <w:rPr>
          <w:rFonts w:ascii="Times" w:hAnsi="Times"/>
          <w:sz w:val="24"/>
          <w:szCs w:val="24"/>
        </w:rPr>
        <w:t xml:space="preserve"> </w:t>
      </w:r>
      <w:r w:rsidRPr="00A36839">
        <w:rPr>
          <w:rFonts w:ascii="Times" w:hAnsi="Times"/>
          <w:sz w:val="24"/>
          <w:szCs w:val="24"/>
        </w:rPr>
        <w:t>as well the ideal of</w:t>
      </w:r>
      <w:r w:rsidR="00386FEE" w:rsidRPr="00A36839">
        <w:rPr>
          <w:rFonts w:ascii="Times" w:hAnsi="Times"/>
          <w:sz w:val="24"/>
          <w:szCs w:val="24"/>
        </w:rPr>
        <w:t xml:space="preserve"> being able to provide for our needs from our own sources.</w:t>
      </w:r>
    </w:p>
    <w:p w14:paraId="48702836" w14:textId="77777777" w:rsidR="00A36839" w:rsidRPr="00A36839" w:rsidRDefault="004A554B" w:rsidP="00C35DDF">
      <w:pPr>
        <w:rPr>
          <w:rFonts w:ascii="Times" w:hAnsi="Times"/>
          <w:sz w:val="24"/>
          <w:szCs w:val="24"/>
        </w:rPr>
      </w:pPr>
      <w:r w:rsidRPr="00A36839">
        <w:rPr>
          <w:rFonts w:ascii="Times" w:hAnsi="Times"/>
          <w:sz w:val="24"/>
          <w:szCs w:val="24"/>
        </w:rPr>
        <w:t xml:space="preserve">This </w:t>
      </w:r>
      <w:r w:rsidR="00800BC5" w:rsidRPr="00A36839">
        <w:rPr>
          <w:rFonts w:ascii="Times" w:hAnsi="Times"/>
          <w:sz w:val="24"/>
          <w:szCs w:val="24"/>
        </w:rPr>
        <w:t xml:space="preserve">may mean increased tariffs </w:t>
      </w:r>
      <w:r w:rsidR="00386FEE" w:rsidRPr="00A36839">
        <w:rPr>
          <w:rFonts w:ascii="Times" w:hAnsi="Times"/>
          <w:sz w:val="24"/>
          <w:szCs w:val="24"/>
        </w:rPr>
        <w:t xml:space="preserve">on imports </w:t>
      </w:r>
      <w:r w:rsidR="00800BC5" w:rsidRPr="00A36839">
        <w:rPr>
          <w:rFonts w:ascii="Times" w:hAnsi="Times"/>
          <w:sz w:val="24"/>
          <w:szCs w:val="24"/>
        </w:rPr>
        <w:t xml:space="preserve">or a temporary levy on supermarket purchases to help </w:t>
      </w:r>
      <w:r w:rsidR="004D7981" w:rsidRPr="00A36839">
        <w:rPr>
          <w:rFonts w:ascii="Times" w:hAnsi="Times"/>
          <w:sz w:val="24"/>
          <w:szCs w:val="24"/>
        </w:rPr>
        <w:t xml:space="preserve">growers </w:t>
      </w:r>
      <w:r w:rsidR="00800BC5" w:rsidRPr="00A36839">
        <w:rPr>
          <w:rFonts w:ascii="Times" w:hAnsi="Times"/>
          <w:sz w:val="24"/>
          <w:szCs w:val="24"/>
        </w:rPr>
        <w:t>meet the costs</w:t>
      </w:r>
      <w:r w:rsidR="004D7981" w:rsidRPr="00A36839">
        <w:rPr>
          <w:rFonts w:ascii="Times" w:hAnsi="Times"/>
          <w:sz w:val="24"/>
          <w:szCs w:val="24"/>
        </w:rPr>
        <w:t xml:space="preserve"> of such a self-reliance objective.</w:t>
      </w:r>
    </w:p>
    <w:p w14:paraId="464CF236" w14:textId="3F9B6B4C" w:rsidR="000A63F1" w:rsidRPr="00A36839" w:rsidRDefault="004D7981" w:rsidP="00A36839">
      <w:pPr>
        <w:pStyle w:val="Heading2"/>
      </w:pPr>
      <w:bookmarkStart w:id="24" w:name="_Toc46319551"/>
      <w:bookmarkStart w:id="25" w:name="_Toc46319737"/>
      <w:r w:rsidRPr="00A36839">
        <w:t>Reliance on a tied temporary migrant workforce must end</w:t>
      </w:r>
      <w:bookmarkEnd w:id="24"/>
      <w:bookmarkEnd w:id="25"/>
    </w:p>
    <w:p w14:paraId="14D7BB01" w14:textId="77777777" w:rsidR="00A36839" w:rsidRPr="00A36839" w:rsidRDefault="004D7981">
      <w:pPr>
        <w:rPr>
          <w:rFonts w:ascii="Times" w:hAnsi="Times"/>
          <w:sz w:val="24"/>
          <w:szCs w:val="24"/>
        </w:rPr>
      </w:pPr>
      <w:r w:rsidRPr="00A36839">
        <w:rPr>
          <w:rFonts w:ascii="Times" w:hAnsi="Times"/>
          <w:sz w:val="24"/>
          <w:szCs w:val="24"/>
        </w:rPr>
        <w:t>It is time to bring the horticultural industry’s aspiration for a designated agricultural visa to an end. It is not feasible in post-Covid-19 circumstances. Moreover, such a visa would perpetuate the exploitative labour market conditions that currently prevail in the industry. It would also delay the required adjustments toward more mechanisation and a primary reliance on a resident workforce.</w:t>
      </w:r>
    </w:p>
    <w:p w14:paraId="53BEBA31" w14:textId="11C38526" w:rsidR="00415FE4" w:rsidRPr="00A36839" w:rsidRDefault="00415FE4">
      <w:pPr>
        <w:rPr>
          <w:rFonts w:ascii="Times" w:hAnsi="Times"/>
          <w:sz w:val="24"/>
          <w:szCs w:val="24"/>
        </w:rPr>
      </w:pPr>
    </w:p>
    <w:p w14:paraId="41A5DC83" w14:textId="77777777" w:rsidR="008F5377" w:rsidRPr="00A36839" w:rsidRDefault="008F5377">
      <w:pPr>
        <w:rPr>
          <w:rFonts w:ascii="Times" w:hAnsi="Times"/>
          <w:b/>
          <w:sz w:val="24"/>
          <w:szCs w:val="24"/>
        </w:rPr>
      </w:pPr>
    </w:p>
    <w:p w14:paraId="13096B67" w14:textId="1DB0972C" w:rsidR="00C476C4" w:rsidRPr="00A36839" w:rsidRDefault="00C476C4">
      <w:pPr>
        <w:rPr>
          <w:rFonts w:ascii="Times" w:hAnsi="Times"/>
          <w:sz w:val="24"/>
          <w:szCs w:val="24"/>
        </w:rPr>
      </w:pPr>
      <w:r w:rsidRPr="00A36839">
        <w:rPr>
          <w:rFonts w:ascii="Times" w:hAnsi="Times"/>
          <w:sz w:val="24"/>
          <w:szCs w:val="24"/>
        </w:rPr>
        <w:br w:type="page"/>
      </w:r>
    </w:p>
    <w:p w14:paraId="1AA446FB" w14:textId="44C49865" w:rsidR="00E035AE" w:rsidRPr="00A36839" w:rsidRDefault="00A36839" w:rsidP="00A36839">
      <w:pPr>
        <w:pStyle w:val="Heading2"/>
      </w:pPr>
      <w:bookmarkStart w:id="26" w:name="_Toc46319552"/>
      <w:bookmarkStart w:id="27" w:name="_Toc46319738"/>
      <w:r>
        <w:lastRenderedPageBreak/>
        <w:t>References</w:t>
      </w:r>
      <w:bookmarkEnd w:id="26"/>
      <w:bookmarkEnd w:id="27"/>
    </w:p>
    <w:sectPr w:rsidR="00E035AE" w:rsidRPr="00A36839" w:rsidSect="00DA30A6">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5B8A3" w14:textId="77777777" w:rsidR="00C35FFA" w:rsidRDefault="00C35FFA" w:rsidP="00A6060D">
      <w:pPr>
        <w:spacing w:after="0" w:line="240" w:lineRule="auto"/>
      </w:pPr>
      <w:r>
        <w:separator/>
      </w:r>
    </w:p>
  </w:endnote>
  <w:endnote w:type="continuationSeparator" w:id="0">
    <w:p w14:paraId="46313609" w14:textId="77777777" w:rsidR="00C35FFA" w:rsidRDefault="00C35FFA" w:rsidP="00A6060D">
      <w:pPr>
        <w:spacing w:after="0" w:line="240" w:lineRule="auto"/>
      </w:pPr>
      <w:r>
        <w:continuationSeparator/>
      </w:r>
    </w:p>
  </w:endnote>
  <w:endnote w:id="1">
    <w:p w14:paraId="59575F96" w14:textId="3EE30FD3" w:rsidR="005A5480" w:rsidRPr="00DA30A6" w:rsidRDefault="005A548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ABARES, </w:t>
      </w:r>
      <w:r w:rsidRPr="00DA30A6">
        <w:rPr>
          <w:rFonts w:ascii="Times" w:hAnsi="Times"/>
          <w:i/>
          <w:sz w:val="22"/>
          <w:szCs w:val="22"/>
        </w:rPr>
        <w:t>Agricultural Commodities Australia</w:t>
      </w:r>
      <w:r w:rsidRPr="00DA30A6">
        <w:rPr>
          <w:rFonts w:ascii="Times" w:hAnsi="Times"/>
          <w:sz w:val="22"/>
          <w:szCs w:val="22"/>
        </w:rPr>
        <w:t>, 2018-19</w:t>
      </w:r>
    </w:p>
  </w:endnote>
  <w:endnote w:id="2">
    <w:p w14:paraId="55384CDA" w14:textId="49971A42" w:rsidR="005A5480" w:rsidRPr="00DA30A6" w:rsidRDefault="005A548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Joanna Howe et al., </w:t>
      </w:r>
      <w:r w:rsidRPr="00DA30A6">
        <w:rPr>
          <w:rFonts w:ascii="Times" w:hAnsi="Times"/>
          <w:i/>
          <w:sz w:val="22"/>
          <w:szCs w:val="22"/>
        </w:rPr>
        <w:t>Towards a durable future: Tackling Labour Challenges in the Australian Horticulture Industry</w:t>
      </w:r>
      <w:r w:rsidRPr="00DA30A6">
        <w:rPr>
          <w:rFonts w:ascii="Times" w:hAnsi="Times"/>
          <w:sz w:val="22"/>
          <w:szCs w:val="22"/>
        </w:rPr>
        <w:t>, University of Adelaide and University of Sydney, 2019, p. 4</w:t>
      </w:r>
    </w:p>
  </w:endnote>
  <w:endnote w:id="3">
    <w:p w14:paraId="7D214181" w14:textId="44D7422C"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w:t>
      </w:r>
      <w:r w:rsidR="005A5480" w:rsidRPr="00DA30A6">
        <w:rPr>
          <w:rFonts w:ascii="Times" w:hAnsi="Times"/>
          <w:sz w:val="22"/>
          <w:szCs w:val="22"/>
        </w:rPr>
        <w:t>Ibid</w:t>
      </w:r>
      <w:r w:rsidR="00DA30A6">
        <w:rPr>
          <w:rFonts w:ascii="Times" w:hAnsi="Times"/>
          <w:sz w:val="22"/>
          <w:szCs w:val="22"/>
        </w:rPr>
        <w:t>.</w:t>
      </w:r>
    </w:p>
  </w:endnote>
  <w:endnote w:id="4">
    <w:p w14:paraId="7FDAEF5D"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Patrice Newell, </w:t>
      </w:r>
      <w:r w:rsidRPr="00DA30A6">
        <w:rPr>
          <w:rFonts w:ascii="Times" w:hAnsi="Times"/>
          <w:i/>
          <w:sz w:val="22"/>
          <w:szCs w:val="22"/>
        </w:rPr>
        <w:t>Who’s Minding the Farm?</w:t>
      </w:r>
      <w:r w:rsidRPr="00DA30A6">
        <w:rPr>
          <w:rFonts w:ascii="Times" w:hAnsi="Times"/>
          <w:sz w:val="22"/>
          <w:szCs w:val="22"/>
        </w:rPr>
        <w:t xml:space="preserve"> Penguin, 2019</w:t>
      </w:r>
    </w:p>
  </w:endnote>
  <w:endnote w:id="5">
    <w:p w14:paraId="0D1DCC95" w14:textId="0C68BC30"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Patrice Newell, </w:t>
      </w:r>
      <w:r w:rsidR="00DA30A6">
        <w:rPr>
          <w:rFonts w:ascii="Times" w:hAnsi="Times"/>
          <w:sz w:val="22"/>
          <w:szCs w:val="22"/>
        </w:rPr>
        <w:t>i</w:t>
      </w:r>
      <w:r w:rsidRPr="00DA30A6">
        <w:rPr>
          <w:rFonts w:ascii="Times" w:hAnsi="Times"/>
          <w:sz w:val="22"/>
          <w:szCs w:val="22"/>
        </w:rPr>
        <w:t>bid., p. 47</w:t>
      </w:r>
    </w:p>
  </w:endnote>
  <w:endnote w:id="6">
    <w:p w14:paraId="4B3E251A" w14:textId="7AABF2CF"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CFMEU Submission Senate Inquiry into Temporary Work Visas, May 6, 2015, p. 15</w:t>
      </w:r>
    </w:p>
  </w:endnote>
  <w:endnote w:id="7">
    <w:p w14:paraId="2A224065" w14:textId="2908345D"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Style w:val="EndnoteReference"/>
          <w:rFonts w:ascii="Times" w:hAnsi="Times"/>
          <w:sz w:val="22"/>
          <w:szCs w:val="22"/>
        </w:rPr>
        <w:endnoteRef/>
      </w:r>
      <w:r w:rsidRPr="00DA30A6">
        <w:rPr>
          <w:rFonts w:ascii="Times" w:hAnsi="Times"/>
          <w:sz w:val="22"/>
          <w:szCs w:val="22"/>
        </w:rPr>
        <w:t xml:space="preserve"> Joanna Howe et al., op. cit., p. 101</w:t>
      </w:r>
    </w:p>
  </w:endnote>
  <w:endnote w:id="8">
    <w:p w14:paraId="67E75B9F" w14:textId="77777777"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Bob Kinnaird, CFMEU submission Senate Inquiry into Temporary Work Visas, May 6, 2015, p. 9</w:t>
      </w:r>
    </w:p>
  </w:endnote>
  <w:endnote w:id="9">
    <w:p w14:paraId="62F8ED26" w14:textId="3ACD8CBB"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This share derives from DHA BR0110 Working Holiday Maker visa program report, 31 December 2019 Table 2.21. In this case it covers those getting a second visa for the six months June to December 2019</w:t>
      </w:r>
      <w:r w:rsidR="00DA30A6">
        <w:rPr>
          <w:rFonts w:ascii="Times" w:hAnsi="Times"/>
          <w:sz w:val="22"/>
          <w:szCs w:val="22"/>
        </w:rPr>
        <w:t>.</w:t>
      </w:r>
    </w:p>
  </w:endnote>
  <w:endnote w:id="10">
    <w:p w14:paraId="6BD81F65" w14:textId="7A9CBD91"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Joanna Howe et al., op. cit., p. 93</w:t>
      </w:r>
    </w:p>
  </w:endnote>
  <w:endnote w:id="11">
    <w:p w14:paraId="77743A69" w14:textId="3EC14486"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Department of Employment, ‘Inquiry into the impact of Australia’s Temporary work visa program on the Australian labour market and on temporary work visa holders’, 15 July 205, p. 35</w:t>
      </w:r>
    </w:p>
  </w:endnote>
  <w:endnote w:id="12">
    <w:p w14:paraId="7F30D17E" w14:textId="77777777" w:rsidR="00834651" w:rsidRPr="00DA30A6" w:rsidRDefault="00834651"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Ibid., p. 94</w:t>
      </w:r>
    </w:p>
  </w:endnote>
  <w:endnote w:id="13">
    <w:p w14:paraId="3B4EE4DD"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The Senate, Education and Employment References Committee, </w:t>
      </w:r>
      <w:r w:rsidRPr="00DA30A6">
        <w:rPr>
          <w:rFonts w:ascii="Times" w:hAnsi="Times"/>
          <w:i/>
          <w:sz w:val="22"/>
          <w:szCs w:val="22"/>
        </w:rPr>
        <w:t>A National Disgrace: The Exploitation of Temporary Work Visa Holders</w:t>
      </w:r>
      <w:r w:rsidRPr="00DA30A6">
        <w:rPr>
          <w:rFonts w:ascii="Times" w:hAnsi="Times"/>
          <w:sz w:val="22"/>
          <w:szCs w:val="22"/>
        </w:rPr>
        <w:t>. March 2016 pp. 166-169 and p. 171</w:t>
      </w:r>
    </w:p>
  </w:endnote>
  <w:endnote w:id="14">
    <w:p w14:paraId="5CAEB8DE"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Fair Work Ombudsman, </w:t>
      </w:r>
      <w:r w:rsidRPr="00DA30A6">
        <w:rPr>
          <w:rFonts w:ascii="Times" w:hAnsi="Times"/>
          <w:i/>
          <w:sz w:val="22"/>
          <w:szCs w:val="22"/>
        </w:rPr>
        <w:t>Harvest Trail Inquiry</w:t>
      </w:r>
      <w:r w:rsidRPr="00DA30A6">
        <w:rPr>
          <w:rFonts w:ascii="Times" w:hAnsi="Times"/>
          <w:sz w:val="22"/>
          <w:szCs w:val="22"/>
        </w:rPr>
        <w:t>, Commonwealth of Australia, 2018</w:t>
      </w:r>
    </w:p>
  </w:endnote>
  <w:endnote w:id="15">
    <w:p w14:paraId="35F6FA89" w14:textId="6A21697F"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Joanna Howe et al., op. cit.</w:t>
      </w:r>
    </w:p>
  </w:endnote>
  <w:endnote w:id="16">
    <w:p w14:paraId="18B334F9" w14:textId="1ED916DD" w:rsidR="00B65DA1" w:rsidRPr="00DA30A6" w:rsidRDefault="00B65DA1"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Patrice </w:t>
      </w:r>
      <w:r w:rsidRPr="00DA30A6">
        <w:rPr>
          <w:rFonts w:ascii="Times" w:hAnsi="Times"/>
          <w:sz w:val="22"/>
          <w:szCs w:val="22"/>
        </w:rPr>
        <w:t>Newell,op. cit., p. 50</w:t>
      </w:r>
    </w:p>
  </w:endnote>
  <w:endnote w:id="17">
    <w:p w14:paraId="5EF62419"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Ibid., Chapter 5</w:t>
      </w:r>
    </w:p>
  </w:endnote>
  <w:endnote w:id="18">
    <w:p w14:paraId="63BF03BA" w14:textId="77777777"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Bob Birrell, </w:t>
      </w:r>
      <w:r w:rsidRPr="00DA30A6">
        <w:rPr>
          <w:rFonts w:ascii="Times" w:hAnsi="Times"/>
          <w:i/>
          <w:sz w:val="22"/>
          <w:szCs w:val="22"/>
        </w:rPr>
        <w:t>Overseas Students are driving Australia’s Net Overseas Migration tide</w:t>
      </w:r>
      <w:r w:rsidRPr="00DA30A6">
        <w:rPr>
          <w:rFonts w:ascii="Times" w:hAnsi="Times"/>
          <w:sz w:val="22"/>
          <w:szCs w:val="22"/>
        </w:rPr>
        <w:t>, The Australian Population Research Institute, Research Report, April 2019, pp. 6-9</w:t>
      </w:r>
    </w:p>
  </w:endnote>
  <w:endnote w:id="19">
    <w:p w14:paraId="63039F51" w14:textId="3E5EEFA7"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w:t>
      </w:r>
      <w:r w:rsidR="00146B93">
        <w:rPr>
          <w:rFonts w:ascii="Times" w:hAnsi="Times"/>
          <w:sz w:val="22"/>
          <w:szCs w:val="22"/>
        </w:rPr>
        <w:t>Newell, op. cit.,</w:t>
      </w:r>
      <w:r w:rsidRPr="00DA30A6">
        <w:rPr>
          <w:rFonts w:ascii="Times" w:hAnsi="Times"/>
          <w:sz w:val="22"/>
          <w:szCs w:val="22"/>
        </w:rPr>
        <w:t xml:space="preserve"> 45</w:t>
      </w:r>
    </w:p>
  </w:endnote>
  <w:endnote w:id="20">
    <w:p w14:paraId="1D03D0D4" w14:textId="77777777"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Ibid., p. 66</w:t>
      </w:r>
    </w:p>
  </w:endnote>
  <w:endnote w:id="21">
    <w:p w14:paraId="00B0546B" w14:textId="49F29C70"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w:t>
      </w:r>
      <w:r w:rsidR="00146B93">
        <w:rPr>
          <w:rFonts w:ascii="Times" w:hAnsi="Times"/>
          <w:sz w:val="22"/>
          <w:szCs w:val="22"/>
        </w:rPr>
        <w:t>Ibid.</w:t>
      </w:r>
      <w:r w:rsidRPr="00DA30A6">
        <w:rPr>
          <w:rFonts w:ascii="Times" w:hAnsi="Times"/>
          <w:sz w:val="22"/>
          <w:szCs w:val="22"/>
        </w:rPr>
        <w:t>, op. cit., p. 46</w:t>
      </w:r>
    </w:p>
  </w:endnote>
  <w:endnote w:id="22">
    <w:p w14:paraId="07A34ED0" w14:textId="77777777" w:rsidR="00E57697" w:rsidRPr="00DA30A6" w:rsidRDefault="00E57697"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Ibid., p. 47</w:t>
      </w:r>
    </w:p>
  </w:endnote>
  <w:endnote w:id="23">
    <w:p w14:paraId="048B0963"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Australian Government, Department of Agriculture, Water and the Environment, </w:t>
      </w:r>
      <w:r w:rsidRPr="00DA30A6">
        <w:rPr>
          <w:rFonts w:ascii="Times" w:hAnsi="Times"/>
          <w:i/>
          <w:sz w:val="22"/>
          <w:szCs w:val="22"/>
        </w:rPr>
        <w:t>National Agricultural Workforce Strategy – Discussion Paper</w:t>
      </w:r>
      <w:r w:rsidRPr="00DA30A6">
        <w:rPr>
          <w:rFonts w:ascii="Times" w:hAnsi="Times"/>
          <w:sz w:val="22"/>
          <w:szCs w:val="22"/>
        </w:rPr>
        <w:t>, February 2020, p. 16</w:t>
      </w:r>
    </w:p>
  </w:endnote>
  <w:endnote w:id="24">
    <w:p w14:paraId="64F3D170" w14:textId="77777777"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Cited in Robert Birrell</w:t>
      </w:r>
      <w:r w:rsidRPr="00DA30A6">
        <w:rPr>
          <w:rFonts w:ascii="Times" w:hAnsi="Times"/>
          <w:i/>
          <w:sz w:val="22"/>
          <w:szCs w:val="22"/>
        </w:rPr>
        <w:t>, A Nation of Our Own</w:t>
      </w:r>
      <w:r w:rsidRPr="00DA30A6">
        <w:rPr>
          <w:rFonts w:ascii="Times" w:hAnsi="Times"/>
          <w:sz w:val="22"/>
          <w:szCs w:val="22"/>
        </w:rPr>
        <w:t>, Longman, 1995, p. 223</w:t>
      </w:r>
    </w:p>
  </w:endnote>
  <w:endnote w:id="25">
    <w:p w14:paraId="78B6918C" w14:textId="4517313C"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The Hon Alan </w:t>
      </w:r>
      <w:r w:rsidRPr="00DA30A6">
        <w:rPr>
          <w:rFonts w:ascii="Times" w:hAnsi="Times"/>
          <w:sz w:val="22"/>
          <w:szCs w:val="22"/>
        </w:rPr>
        <w:t>Tudge, Acting Minister Immigration, ‘Coronavirus and Temporary Visa holders’, 4 April 2020</w:t>
      </w:r>
    </w:p>
  </w:endnote>
  <w:endnote w:id="26">
    <w:p w14:paraId="0EFA9C3A" w14:textId="51EF53F5"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Joanna Howe, et al. op. cit. p. 69</w:t>
      </w:r>
    </w:p>
  </w:endnote>
  <w:endnote w:id="27">
    <w:p w14:paraId="3F4813FE" w14:textId="52F62FDD" w:rsidR="006A0F50" w:rsidRPr="00DA30A6" w:rsidRDefault="006A0F50" w:rsidP="00DA30A6">
      <w:pPr>
        <w:pStyle w:val="EndnoteText"/>
        <w:ind w:left="142" w:hanging="142"/>
        <w:rPr>
          <w:rFonts w:ascii="Times" w:hAnsi="Times"/>
          <w:sz w:val="22"/>
          <w:szCs w:val="22"/>
        </w:rPr>
      </w:pPr>
      <w:r w:rsidRPr="00DA30A6">
        <w:rPr>
          <w:rStyle w:val="EndnoteReference"/>
          <w:rFonts w:ascii="Times" w:hAnsi="Times"/>
          <w:sz w:val="22"/>
          <w:szCs w:val="22"/>
        </w:rPr>
        <w:endnoteRef/>
      </w:r>
      <w:r w:rsidRPr="00DA30A6">
        <w:rPr>
          <w:rFonts w:ascii="Times" w:hAnsi="Times"/>
          <w:sz w:val="22"/>
          <w:szCs w:val="22"/>
        </w:rPr>
        <w:t xml:space="preserve"> </w:t>
      </w:r>
      <w:r w:rsidR="00DA30A6">
        <w:rPr>
          <w:rFonts w:ascii="Times" w:hAnsi="Times"/>
          <w:sz w:val="22"/>
          <w:szCs w:val="22"/>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310437"/>
      <w:docPartObj>
        <w:docPartGallery w:val="Page Numbers (Bottom of Page)"/>
        <w:docPartUnique/>
      </w:docPartObj>
    </w:sdtPr>
    <w:sdtEndPr>
      <w:rPr>
        <w:rStyle w:val="PageNumber"/>
      </w:rPr>
    </w:sdtEndPr>
    <w:sdtContent>
      <w:p w14:paraId="78341011" w14:textId="7D625C31" w:rsidR="00DA30A6" w:rsidRDefault="00DA30A6" w:rsidP="0068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0121F" w14:textId="77777777" w:rsidR="00DA30A6" w:rsidRDefault="00DA30A6" w:rsidP="00DA3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067987"/>
      <w:docPartObj>
        <w:docPartGallery w:val="Page Numbers (Bottom of Page)"/>
        <w:docPartUnique/>
      </w:docPartObj>
    </w:sdtPr>
    <w:sdtEndPr>
      <w:rPr>
        <w:rStyle w:val="PageNumber"/>
      </w:rPr>
    </w:sdtEndPr>
    <w:sdtContent>
      <w:p w14:paraId="615DADFA" w14:textId="5A58D533" w:rsidR="00DA30A6" w:rsidRDefault="00DA30A6" w:rsidP="00683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0521F1AA" w14:textId="36C85A4D" w:rsidR="006A0F50" w:rsidRDefault="006A0F50" w:rsidP="00DA30A6">
    <w:pPr>
      <w:pStyle w:val="Footer"/>
      <w:ind w:right="360"/>
      <w:jc w:val="center"/>
    </w:pPr>
  </w:p>
  <w:p w14:paraId="0240B8AA" w14:textId="77777777" w:rsidR="006A0F50" w:rsidRDefault="006A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7C4F" w14:textId="77777777" w:rsidR="00C35FFA" w:rsidRDefault="00C35FFA" w:rsidP="00A6060D">
      <w:pPr>
        <w:spacing w:after="0" w:line="240" w:lineRule="auto"/>
      </w:pPr>
      <w:r>
        <w:separator/>
      </w:r>
    </w:p>
  </w:footnote>
  <w:footnote w:type="continuationSeparator" w:id="0">
    <w:p w14:paraId="3D6FA146" w14:textId="77777777" w:rsidR="00C35FFA" w:rsidRDefault="00C35FFA" w:rsidP="00A60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89"/>
    <w:rsid w:val="00027AE2"/>
    <w:rsid w:val="00032BF0"/>
    <w:rsid w:val="000574C3"/>
    <w:rsid w:val="00060FDE"/>
    <w:rsid w:val="00066C2B"/>
    <w:rsid w:val="000746DC"/>
    <w:rsid w:val="00075BB7"/>
    <w:rsid w:val="00086596"/>
    <w:rsid w:val="00095391"/>
    <w:rsid w:val="00095E0B"/>
    <w:rsid w:val="000A2838"/>
    <w:rsid w:val="000A564D"/>
    <w:rsid w:val="000A63F1"/>
    <w:rsid w:val="000C4E6C"/>
    <w:rsid w:val="000C64F5"/>
    <w:rsid w:val="000D2D92"/>
    <w:rsid w:val="000F423D"/>
    <w:rsid w:val="001119A4"/>
    <w:rsid w:val="00122451"/>
    <w:rsid w:val="00122818"/>
    <w:rsid w:val="0014407D"/>
    <w:rsid w:val="001452DA"/>
    <w:rsid w:val="00146B93"/>
    <w:rsid w:val="0015169B"/>
    <w:rsid w:val="00191D80"/>
    <w:rsid w:val="001B20E4"/>
    <w:rsid w:val="001B6782"/>
    <w:rsid w:val="001B6E43"/>
    <w:rsid w:val="001C23F7"/>
    <w:rsid w:val="001D4E6F"/>
    <w:rsid w:val="001E21DD"/>
    <w:rsid w:val="001E72F1"/>
    <w:rsid w:val="001F5B92"/>
    <w:rsid w:val="0020000B"/>
    <w:rsid w:val="0020568A"/>
    <w:rsid w:val="00212888"/>
    <w:rsid w:val="002217A9"/>
    <w:rsid w:val="0022407A"/>
    <w:rsid w:val="00224B54"/>
    <w:rsid w:val="002313EE"/>
    <w:rsid w:val="00231ACB"/>
    <w:rsid w:val="0026105B"/>
    <w:rsid w:val="00261F83"/>
    <w:rsid w:val="00265ACF"/>
    <w:rsid w:val="00271485"/>
    <w:rsid w:val="0027294C"/>
    <w:rsid w:val="00276DD9"/>
    <w:rsid w:val="002A0B2C"/>
    <w:rsid w:val="002A6CF0"/>
    <w:rsid w:val="002C491C"/>
    <w:rsid w:val="002C78F6"/>
    <w:rsid w:val="002D43D3"/>
    <w:rsid w:val="002D6315"/>
    <w:rsid w:val="002F1EE3"/>
    <w:rsid w:val="002F2FCF"/>
    <w:rsid w:val="003013E7"/>
    <w:rsid w:val="003103CA"/>
    <w:rsid w:val="0031061C"/>
    <w:rsid w:val="003154C7"/>
    <w:rsid w:val="003216BE"/>
    <w:rsid w:val="0034376B"/>
    <w:rsid w:val="003503E9"/>
    <w:rsid w:val="00360044"/>
    <w:rsid w:val="003744E0"/>
    <w:rsid w:val="00374C61"/>
    <w:rsid w:val="00386FEE"/>
    <w:rsid w:val="003A42AE"/>
    <w:rsid w:val="003C7E71"/>
    <w:rsid w:val="003D4D0F"/>
    <w:rsid w:val="003D7125"/>
    <w:rsid w:val="003E254B"/>
    <w:rsid w:val="003F2986"/>
    <w:rsid w:val="00405BFC"/>
    <w:rsid w:val="00411288"/>
    <w:rsid w:val="0041413D"/>
    <w:rsid w:val="00415FE4"/>
    <w:rsid w:val="00421064"/>
    <w:rsid w:val="004213BA"/>
    <w:rsid w:val="00423878"/>
    <w:rsid w:val="004346AA"/>
    <w:rsid w:val="00435BE0"/>
    <w:rsid w:val="00463749"/>
    <w:rsid w:val="00477817"/>
    <w:rsid w:val="00480AE7"/>
    <w:rsid w:val="004A554B"/>
    <w:rsid w:val="004B1CCA"/>
    <w:rsid w:val="004C0F10"/>
    <w:rsid w:val="004C403B"/>
    <w:rsid w:val="004C6340"/>
    <w:rsid w:val="004D631C"/>
    <w:rsid w:val="004D7981"/>
    <w:rsid w:val="004E0596"/>
    <w:rsid w:val="004F0E85"/>
    <w:rsid w:val="004F41F6"/>
    <w:rsid w:val="004F785D"/>
    <w:rsid w:val="004F7C36"/>
    <w:rsid w:val="00503581"/>
    <w:rsid w:val="00510C6D"/>
    <w:rsid w:val="00513127"/>
    <w:rsid w:val="005134C8"/>
    <w:rsid w:val="00523EF9"/>
    <w:rsid w:val="0052480F"/>
    <w:rsid w:val="00525BB4"/>
    <w:rsid w:val="00530251"/>
    <w:rsid w:val="0053143E"/>
    <w:rsid w:val="00534F01"/>
    <w:rsid w:val="00555C09"/>
    <w:rsid w:val="00562931"/>
    <w:rsid w:val="0057574D"/>
    <w:rsid w:val="0058228A"/>
    <w:rsid w:val="005920DA"/>
    <w:rsid w:val="005979C6"/>
    <w:rsid w:val="005A1FD0"/>
    <w:rsid w:val="005A5480"/>
    <w:rsid w:val="005A5B6F"/>
    <w:rsid w:val="005A6933"/>
    <w:rsid w:val="005A7291"/>
    <w:rsid w:val="005C2CF2"/>
    <w:rsid w:val="005C71BC"/>
    <w:rsid w:val="005D3D01"/>
    <w:rsid w:val="005D49D1"/>
    <w:rsid w:val="005E0A6C"/>
    <w:rsid w:val="005E2F65"/>
    <w:rsid w:val="005E7434"/>
    <w:rsid w:val="005F2C34"/>
    <w:rsid w:val="005F5F65"/>
    <w:rsid w:val="005F70C9"/>
    <w:rsid w:val="006113E9"/>
    <w:rsid w:val="006144DD"/>
    <w:rsid w:val="006168DA"/>
    <w:rsid w:val="00616C85"/>
    <w:rsid w:val="00625833"/>
    <w:rsid w:val="00643280"/>
    <w:rsid w:val="006537D5"/>
    <w:rsid w:val="00664D9D"/>
    <w:rsid w:val="00666BA3"/>
    <w:rsid w:val="00667F64"/>
    <w:rsid w:val="00671C68"/>
    <w:rsid w:val="006851B9"/>
    <w:rsid w:val="00697DF9"/>
    <w:rsid w:val="006A0F50"/>
    <w:rsid w:val="006A6751"/>
    <w:rsid w:val="006D3C83"/>
    <w:rsid w:val="006D5A51"/>
    <w:rsid w:val="006E3B35"/>
    <w:rsid w:val="006E57A1"/>
    <w:rsid w:val="006E637C"/>
    <w:rsid w:val="006F6951"/>
    <w:rsid w:val="006F7595"/>
    <w:rsid w:val="00740288"/>
    <w:rsid w:val="007665B9"/>
    <w:rsid w:val="007901D9"/>
    <w:rsid w:val="00790F5F"/>
    <w:rsid w:val="007A3579"/>
    <w:rsid w:val="007C24C8"/>
    <w:rsid w:val="007C4DE6"/>
    <w:rsid w:val="007D75A3"/>
    <w:rsid w:val="007D7E07"/>
    <w:rsid w:val="007F0039"/>
    <w:rsid w:val="007F133E"/>
    <w:rsid w:val="007F1F8A"/>
    <w:rsid w:val="00800BC5"/>
    <w:rsid w:val="00807A1E"/>
    <w:rsid w:val="00812632"/>
    <w:rsid w:val="00814810"/>
    <w:rsid w:val="00822945"/>
    <w:rsid w:val="008245FD"/>
    <w:rsid w:val="008268CA"/>
    <w:rsid w:val="00834651"/>
    <w:rsid w:val="00843107"/>
    <w:rsid w:val="00854DC3"/>
    <w:rsid w:val="00867B6F"/>
    <w:rsid w:val="0087651E"/>
    <w:rsid w:val="00876E3F"/>
    <w:rsid w:val="00877CA7"/>
    <w:rsid w:val="00884A8A"/>
    <w:rsid w:val="008860C8"/>
    <w:rsid w:val="00886774"/>
    <w:rsid w:val="00891563"/>
    <w:rsid w:val="008C71CC"/>
    <w:rsid w:val="008F4B13"/>
    <w:rsid w:val="008F5377"/>
    <w:rsid w:val="00903D32"/>
    <w:rsid w:val="00917B35"/>
    <w:rsid w:val="00943541"/>
    <w:rsid w:val="00947CB2"/>
    <w:rsid w:val="00950B1D"/>
    <w:rsid w:val="009A2397"/>
    <w:rsid w:val="009A4B97"/>
    <w:rsid w:val="009B2199"/>
    <w:rsid w:val="009D0AD7"/>
    <w:rsid w:val="009D706B"/>
    <w:rsid w:val="009F0A07"/>
    <w:rsid w:val="00A0405D"/>
    <w:rsid w:val="00A135CF"/>
    <w:rsid w:val="00A203CA"/>
    <w:rsid w:val="00A21451"/>
    <w:rsid w:val="00A33AE6"/>
    <w:rsid w:val="00A36839"/>
    <w:rsid w:val="00A37900"/>
    <w:rsid w:val="00A43093"/>
    <w:rsid w:val="00A44126"/>
    <w:rsid w:val="00A46B99"/>
    <w:rsid w:val="00A6060D"/>
    <w:rsid w:val="00A63AAE"/>
    <w:rsid w:val="00A72C39"/>
    <w:rsid w:val="00A738C3"/>
    <w:rsid w:val="00A8535A"/>
    <w:rsid w:val="00A87E61"/>
    <w:rsid w:val="00A9785A"/>
    <w:rsid w:val="00AA0B06"/>
    <w:rsid w:val="00AA64E2"/>
    <w:rsid w:val="00AD0345"/>
    <w:rsid w:val="00AD3BF0"/>
    <w:rsid w:val="00AD446F"/>
    <w:rsid w:val="00AE02C2"/>
    <w:rsid w:val="00AE113B"/>
    <w:rsid w:val="00AE17AC"/>
    <w:rsid w:val="00AE4979"/>
    <w:rsid w:val="00AF0204"/>
    <w:rsid w:val="00AF3F58"/>
    <w:rsid w:val="00B1264B"/>
    <w:rsid w:val="00B1738B"/>
    <w:rsid w:val="00B2671B"/>
    <w:rsid w:val="00B35E89"/>
    <w:rsid w:val="00B52B6E"/>
    <w:rsid w:val="00B52CF8"/>
    <w:rsid w:val="00B65DA1"/>
    <w:rsid w:val="00B66DD5"/>
    <w:rsid w:val="00B732B2"/>
    <w:rsid w:val="00B73F21"/>
    <w:rsid w:val="00B819F9"/>
    <w:rsid w:val="00B82B0A"/>
    <w:rsid w:val="00B957DE"/>
    <w:rsid w:val="00BB6F2B"/>
    <w:rsid w:val="00BB721B"/>
    <w:rsid w:val="00BC142F"/>
    <w:rsid w:val="00BD07BC"/>
    <w:rsid w:val="00BF5873"/>
    <w:rsid w:val="00BF6E90"/>
    <w:rsid w:val="00C02C90"/>
    <w:rsid w:val="00C35DDF"/>
    <w:rsid w:val="00C35FFA"/>
    <w:rsid w:val="00C37EDE"/>
    <w:rsid w:val="00C402D8"/>
    <w:rsid w:val="00C40E2F"/>
    <w:rsid w:val="00C412DA"/>
    <w:rsid w:val="00C476C4"/>
    <w:rsid w:val="00C52B71"/>
    <w:rsid w:val="00C612D0"/>
    <w:rsid w:val="00C66E08"/>
    <w:rsid w:val="00C814A9"/>
    <w:rsid w:val="00C94ED5"/>
    <w:rsid w:val="00CB481D"/>
    <w:rsid w:val="00CC25A8"/>
    <w:rsid w:val="00CC2F9D"/>
    <w:rsid w:val="00CD2CC8"/>
    <w:rsid w:val="00CD65E0"/>
    <w:rsid w:val="00CE1E30"/>
    <w:rsid w:val="00CE4DFC"/>
    <w:rsid w:val="00CE51AF"/>
    <w:rsid w:val="00D04240"/>
    <w:rsid w:val="00D106ED"/>
    <w:rsid w:val="00D1578A"/>
    <w:rsid w:val="00D2027A"/>
    <w:rsid w:val="00D32B07"/>
    <w:rsid w:val="00D332CD"/>
    <w:rsid w:val="00D35434"/>
    <w:rsid w:val="00D42F36"/>
    <w:rsid w:val="00D61AA9"/>
    <w:rsid w:val="00D73407"/>
    <w:rsid w:val="00D84A7D"/>
    <w:rsid w:val="00D87781"/>
    <w:rsid w:val="00DA30A6"/>
    <w:rsid w:val="00DA35B4"/>
    <w:rsid w:val="00DC673A"/>
    <w:rsid w:val="00DD0413"/>
    <w:rsid w:val="00DD0E0B"/>
    <w:rsid w:val="00DD4193"/>
    <w:rsid w:val="00DE22B8"/>
    <w:rsid w:val="00DE606C"/>
    <w:rsid w:val="00DF66C3"/>
    <w:rsid w:val="00E035AE"/>
    <w:rsid w:val="00E1542D"/>
    <w:rsid w:val="00E17AE5"/>
    <w:rsid w:val="00E330FD"/>
    <w:rsid w:val="00E460A4"/>
    <w:rsid w:val="00E47620"/>
    <w:rsid w:val="00E57697"/>
    <w:rsid w:val="00E71462"/>
    <w:rsid w:val="00E84F32"/>
    <w:rsid w:val="00E91578"/>
    <w:rsid w:val="00EB6AE2"/>
    <w:rsid w:val="00EC3C77"/>
    <w:rsid w:val="00EE2145"/>
    <w:rsid w:val="00EE6A57"/>
    <w:rsid w:val="00EF4086"/>
    <w:rsid w:val="00EF40BA"/>
    <w:rsid w:val="00F06A75"/>
    <w:rsid w:val="00F13FEE"/>
    <w:rsid w:val="00F229F7"/>
    <w:rsid w:val="00F37E0A"/>
    <w:rsid w:val="00F55983"/>
    <w:rsid w:val="00F616FC"/>
    <w:rsid w:val="00FA4B65"/>
    <w:rsid w:val="00FA747A"/>
    <w:rsid w:val="00FC1D3F"/>
    <w:rsid w:val="00FC5078"/>
    <w:rsid w:val="00FC6542"/>
    <w:rsid w:val="00FD5B4A"/>
    <w:rsid w:val="00FE4049"/>
    <w:rsid w:val="00FE6D52"/>
    <w:rsid w:val="00FF69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D57AA"/>
  <w15:docId w15:val="{F935E9BC-7103-483A-A8AF-D529F2C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6839"/>
    <w:pPr>
      <w:keepNext/>
      <w:keepLines/>
      <w:spacing w:before="240" w:after="0"/>
      <w:outlineLvl w:val="1"/>
    </w:pPr>
    <w:rPr>
      <w:rFonts w:ascii="Times" w:eastAsiaTheme="majorEastAsia" w:hAnsi="Times" w:cstheme="majorBidi"/>
      <w:b/>
      <w:color w:val="000000" w:themeColor="text1"/>
      <w:sz w:val="24"/>
      <w:szCs w:val="26"/>
    </w:rPr>
  </w:style>
  <w:style w:type="paragraph" w:styleId="Heading3">
    <w:name w:val="heading 3"/>
    <w:basedOn w:val="Normal"/>
    <w:next w:val="Normal"/>
    <w:link w:val="Heading3Char"/>
    <w:uiPriority w:val="9"/>
    <w:unhideWhenUsed/>
    <w:qFormat/>
    <w:rsid w:val="00A36839"/>
    <w:pPr>
      <w:keepNext/>
      <w:keepLines/>
      <w:spacing w:before="240" w:after="0"/>
      <w:outlineLvl w:val="2"/>
    </w:pPr>
    <w:rPr>
      <w:rFonts w:ascii="Times" w:eastAsiaTheme="majorEastAsia" w:hAnsi="Times"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0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60D"/>
    <w:rPr>
      <w:sz w:val="20"/>
      <w:szCs w:val="20"/>
    </w:rPr>
  </w:style>
  <w:style w:type="character" w:styleId="EndnoteReference">
    <w:name w:val="endnote reference"/>
    <w:basedOn w:val="DefaultParagraphFont"/>
    <w:uiPriority w:val="99"/>
    <w:semiHidden/>
    <w:unhideWhenUsed/>
    <w:rsid w:val="00A6060D"/>
    <w:rPr>
      <w:vertAlign w:val="superscript"/>
    </w:rPr>
  </w:style>
  <w:style w:type="paragraph" w:styleId="Header">
    <w:name w:val="header"/>
    <w:basedOn w:val="Normal"/>
    <w:link w:val="HeaderChar"/>
    <w:uiPriority w:val="99"/>
    <w:unhideWhenUsed/>
    <w:rsid w:val="00360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44"/>
  </w:style>
  <w:style w:type="paragraph" w:styleId="Footer">
    <w:name w:val="footer"/>
    <w:basedOn w:val="Normal"/>
    <w:link w:val="FooterChar"/>
    <w:uiPriority w:val="99"/>
    <w:unhideWhenUsed/>
    <w:rsid w:val="00360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44"/>
  </w:style>
  <w:style w:type="paragraph" w:styleId="BalloonText">
    <w:name w:val="Balloon Text"/>
    <w:basedOn w:val="Normal"/>
    <w:link w:val="BalloonTextChar"/>
    <w:uiPriority w:val="99"/>
    <w:semiHidden/>
    <w:unhideWhenUsed/>
    <w:rsid w:val="007D7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E07"/>
    <w:rPr>
      <w:rFonts w:ascii="Lucida Grande" w:hAnsi="Lucida Grande" w:cs="Lucida Grande"/>
      <w:sz w:val="18"/>
      <w:szCs w:val="18"/>
    </w:rPr>
  </w:style>
  <w:style w:type="table" w:styleId="TableGrid">
    <w:name w:val="Table Grid"/>
    <w:basedOn w:val="TableNormal"/>
    <w:uiPriority w:val="39"/>
    <w:rsid w:val="000F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6839"/>
    <w:rPr>
      <w:rFonts w:ascii="Times" w:eastAsiaTheme="majorEastAsia" w:hAnsi="Times" w:cstheme="majorBidi"/>
      <w:b/>
      <w:color w:val="000000" w:themeColor="text1"/>
      <w:sz w:val="24"/>
      <w:szCs w:val="26"/>
    </w:rPr>
  </w:style>
  <w:style w:type="character" w:customStyle="1" w:styleId="Heading3Char">
    <w:name w:val="Heading 3 Char"/>
    <w:basedOn w:val="DefaultParagraphFont"/>
    <w:link w:val="Heading3"/>
    <w:uiPriority w:val="9"/>
    <w:rsid w:val="00A36839"/>
    <w:rPr>
      <w:rFonts w:ascii="Times" w:eastAsiaTheme="majorEastAsia" w:hAnsi="Times" w:cstheme="majorBidi"/>
      <w:i/>
      <w:color w:val="000000" w:themeColor="text1"/>
      <w:sz w:val="24"/>
      <w:szCs w:val="24"/>
    </w:rPr>
  </w:style>
  <w:style w:type="character" w:styleId="PageNumber">
    <w:name w:val="page number"/>
    <w:basedOn w:val="DefaultParagraphFont"/>
    <w:uiPriority w:val="99"/>
    <w:semiHidden/>
    <w:unhideWhenUsed/>
    <w:rsid w:val="00DA30A6"/>
  </w:style>
  <w:style w:type="paragraph" w:styleId="TOC2">
    <w:name w:val="toc 2"/>
    <w:basedOn w:val="Normal"/>
    <w:next w:val="Normal"/>
    <w:autoRedefine/>
    <w:uiPriority w:val="39"/>
    <w:unhideWhenUsed/>
    <w:rsid w:val="008F4B13"/>
    <w:pPr>
      <w:spacing w:after="100"/>
      <w:ind w:left="220"/>
    </w:pPr>
  </w:style>
  <w:style w:type="paragraph" w:styleId="TOC3">
    <w:name w:val="toc 3"/>
    <w:basedOn w:val="Normal"/>
    <w:next w:val="Normal"/>
    <w:autoRedefine/>
    <w:uiPriority w:val="39"/>
    <w:unhideWhenUsed/>
    <w:rsid w:val="008F4B13"/>
    <w:pPr>
      <w:tabs>
        <w:tab w:val="right" w:leader="dot" w:pos="9016"/>
      </w:tabs>
      <w:spacing w:after="100"/>
      <w:ind w:left="440"/>
    </w:pPr>
    <w:rPr>
      <w:i/>
      <w:iCs/>
      <w:noProof/>
    </w:rPr>
  </w:style>
  <w:style w:type="character" w:styleId="Hyperlink">
    <w:name w:val="Hyperlink"/>
    <w:basedOn w:val="DefaultParagraphFont"/>
    <w:uiPriority w:val="99"/>
    <w:unhideWhenUsed/>
    <w:rsid w:val="008F4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4535-DBB9-43F4-A7D7-D6B45C9E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7122</TotalTime>
  <Pages>15</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katharinebetts@gmail.com</cp:lastModifiedBy>
  <cp:revision>19</cp:revision>
  <cp:lastPrinted>2020-04-21T10:33:00Z</cp:lastPrinted>
  <dcterms:created xsi:type="dcterms:W3CDTF">2020-05-11T00:32:00Z</dcterms:created>
  <dcterms:modified xsi:type="dcterms:W3CDTF">2020-07-26T05:11:00Z</dcterms:modified>
</cp:coreProperties>
</file>